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5C8DA" w14:textId="6C7491CB" w:rsidR="007C724C" w:rsidRPr="005E21B4" w:rsidRDefault="007C724C" w:rsidP="007C724C">
      <w:pPr>
        <w:jc w:val="center"/>
        <w:rPr>
          <w:rFonts w:ascii="Bahnschrift" w:eastAsia="Bahnschrift" w:hAnsi="Bahnschrift" w:cs="Bahnschrift"/>
          <w:b/>
          <w:color w:val="000000" w:themeColor="text1"/>
          <w:sz w:val="28"/>
          <w:szCs w:val="28"/>
          <w:u w:val="single"/>
        </w:rPr>
      </w:pPr>
      <w:r w:rsidRPr="005E21B4">
        <w:rPr>
          <w:rFonts w:ascii="Bahnschrift" w:eastAsia="Bahnschrift" w:hAnsi="Bahnschrift" w:cs="Bahnschrift"/>
          <w:b/>
          <w:color w:val="000000" w:themeColor="text1"/>
          <w:sz w:val="28"/>
          <w:szCs w:val="28"/>
          <w:u w:val="single"/>
        </w:rPr>
        <w:t>APPENDIX</w:t>
      </w:r>
      <w:r>
        <w:rPr>
          <w:rFonts w:ascii="Bahnschrift" w:eastAsia="Bahnschrift" w:hAnsi="Bahnschrift" w:cs="Bahnschrift"/>
          <w:b/>
          <w:color w:val="000000" w:themeColor="text1"/>
          <w:sz w:val="28"/>
          <w:szCs w:val="28"/>
          <w:u w:val="single"/>
        </w:rPr>
        <w:t xml:space="preserve"> XV</w:t>
      </w:r>
      <w:r w:rsidRPr="005E21B4">
        <w:rPr>
          <w:rFonts w:ascii="Bahnschrift" w:eastAsia="Bahnschrift" w:hAnsi="Bahnschrift" w:cs="Bahnschrift"/>
          <w:b/>
          <w:color w:val="000000" w:themeColor="text1"/>
          <w:sz w:val="28"/>
          <w:szCs w:val="28"/>
          <w:u w:val="single"/>
        </w:rPr>
        <w:t>I</w:t>
      </w:r>
    </w:p>
    <w:p w14:paraId="5C81A7DF" w14:textId="77777777" w:rsidR="002B4219" w:rsidRDefault="002B4219">
      <w:pPr>
        <w:rPr>
          <w:rFonts w:ascii="Times New Roman" w:hAnsi="Times New Roman" w:cs="Times New Roman"/>
          <w:color w:val="000000" w:themeColor="text1"/>
        </w:rPr>
      </w:pPr>
    </w:p>
    <w:p w14:paraId="7512062D" w14:textId="77777777" w:rsidR="002B4219" w:rsidRDefault="002B4219">
      <w:pPr>
        <w:rPr>
          <w:rFonts w:ascii="Times New Roman" w:hAnsi="Times New Roman" w:cs="Times New Roman"/>
          <w:color w:val="000000" w:themeColor="text1"/>
        </w:rPr>
      </w:pPr>
    </w:p>
    <w:p w14:paraId="4F83E954" w14:textId="77777777" w:rsidR="002B4219" w:rsidRDefault="0069269F">
      <w:pPr>
        <w:kinsoku w:val="0"/>
        <w:overflowPunct w:val="0"/>
        <w:autoSpaceDE w:val="0"/>
        <w:autoSpaceDN w:val="0"/>
        <w:spacing w:line="300" w:lineRule="atLeast"/>
        <w:ind w:left="1530" w:rightChars="485" w:right="970"/>
        <w:jc w:val="center"/>
        <w:rPr>
          <w:rFonts w:ascii="Times New Roman" w:eastAsia="Malgun Gothic" w:hAnsi="Times New Roman" w:cs="Times New Roman"/>
          <w:b/>
          <w:bCs/>
          <w:color w:val="000000" w:themeColor="text1"/>
          <w:sz w:val="28"/>
          <w:szCs w:val="22"/>
          <w:lang w:eastAsia="ko-KR"/>
        </w:rPr>
      </w:pPr>
      <w:r>
        <w:rPr>
          <w:rFonts w:ascii="Times New Roman" w:hAnsi="Times New Roman" w:cs="Times New Roman"/>
          <w:b/>
          <w:bCs/>
          <w:sz w:val="28"/>
          <w:szCs w:val="28"/>
        </w:rPr>
        <w:t>Summary Report on Resource Mobilization</w:t>
      </w:r>
    </w:p>
    <w:p w14:paraId="129B1475" w14:textId="77777777" w:rsidR="002B4219" w:rsidRDefault="002B4219">
      <w:pPr>
        <w:kinsoku w:val="0"/>
        <w:overflowPunct w:val="0"/>
        <w:autoSpaceDE w:val="0"/>
        <w:autoSpaceDN w:val="0"/>
        <w:spacing w:line="300" w:lineRule="atLeast"/>
        <w:ind w:left="1530" w:rightChars="485" w:right="970"/>
        <w:jc w:val="center"/>
        <w:rPr>
          <w:rFonts w:ascii="Times New Roman" w:eastAsia="Malgun Gothic" w:hAnsi="Times New Roman" w:cs="Times New Roman"/>
          <w:b/>
          <w:bCs/>
          <w:color w:val="000000" w:themeColor="text1"/>
          <w:sz w:val="28"/>
          <w:szCs w:val="22"/>
          <w:lang w:eastAsia="ko-KR"/>
        </w:rPr>
      </w:pPr>
    </w:p>
    <w:p w14:paraId="626C9748" w14:textId="77777777" w:rsidR="002B4219" w:rsidRDefault="0069269F">
      <w:pPr>
        <w:spacing w:line="300" w:lineRule="atLeast"/>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Submitted by TCS</w:t>
      </w:r>
    </w:p>
    <w:p w14:paraId="7AF489A2" w14:textId="77777777" w:rsidR="002B4219" w:rsidRDefault="002B4219">
      <w:pPr>
        <w:rPr>
          <w:rFonts w:ascii="Times New Roman" w:hAnsi="Times New Roman" w:cs="Times New Roman"/>
          <w:b/>
          <w:bCs/>
          <w:sz w:val="24"/>
          <w:szCs w:val="24"/>
        </w:rPr>
      </w:pPr>
    </w:p>
    <w:p w14:paraId="1250FBF3" w14:textId="77777777" w:rsidR="002B4219" w:rsidRDefault="0069269F">
      <w:pPr>
        <w:numPr>
          <w:ilvl w:val="0"/>
          <w:numId w:val="2"/>
        </w:numPr>
        <w:spacing w:beforeLines="50" w:before="120" w:afterLines="50" w:after="120" w:line="276" w:lineRule="auto"/>
        <w:jc w:val="both"/>
        <w:rPr>
          <w:rFonts w:ascii="Times New Roman" w:hAnsi="Times New Roman" w:cs="Times New Roman"/>
          <w:sz w:val="22"/>
          <w:szCs w:val="22"/>
        </w:rPr>
      </w:pPr>
      <w:r>
        <w:rPr>
          <w:rFonts w:ascii="Times New Roman" w:hAnsi="Times New Roman" w:cs="Times New Roman"/>
          <w:sz w:val="22"/>
          <w:szCs w:val="22"/>
        </w:rPr>
        <w:t>With a view to exploring possible arrangements/rules and procedures to facilitate donations or support both within and outside the Typhoon Committee (TC) region, at the post-TC56 Session AWG meeting held on 1 March 2024 afternoon in Kuala Lumpur, Malaysia, AWG requested TCS to research on opportunities of different sponsorship types in resource mobilization and report the findings to AWG (Notes of Post-TC56 AWG Meeting, AWG Activities Annual Report 2024).</w:t>
      </w:r>
    </w:p>
    <w:p w14:paraId="47DE4290" w14:textId="77777777" w:rsidR="002B4219" w:rsidRDefault="0069269F">
      <w:pPr>
        <w:numPr>
          <w:ilvl w:val="0"/>
          <w:numId w:val="2"/>
        </w:numPr>
        <w:spacing w:beforeLines="50" w:before="120" w:afterLines="50" w:after="120" w:line="276" w:lineRule="auto"/>
        <w:jc w:val="both"/>
        <w:rPr>
          <w:rFonts w:ascii="Times New Roman" w:hAnsi="Times New Roman" w:cs="Times New Roman"/>
          <w:sz w:val="22"/>
          <w:szCs w:val="22"/>
        </w:rPr>
      </w:pPr>
      <w:r>
        <w:rPr>
          <w:rFonts w:ascii="Times New Roman" w:hAnsi="Times New Roman" w:cs="Times New Roman"/>
          <w:sz w:val="22"/>
          <w:szCs w:val="22"/>
        </w:rPr>
        <w:t xml:space="preserve">As per the request, TCS took a series of actions in this matter during the intersessional </w:t>
      </w:r>
      <w:proofErr w:type="gramStart"/>
      <w:r>
        <w:rPr>
          <w:rFonts w:ascii="Times New Roman" w:hAnsi="Times New Roman" w:cs="Times New Roman"/>
          <w:sz w:val="22"/>
          <w:szCs w:val="22"/>
        </w:rPr>
        <w:t>period,  including</w:t>
      </w:r>
      <w:proofErr w:type="gramEnd"/>
      <w:r>
        <w:rPr>
          <w:rFonts w:ascii="Times New Roman" w:hAnsi="Times New Roman" w:cs="Times New Roman"/>
          <w:sz w:val="22"/>
          <w:szCs w:val="22"/>
        </w:rPr>
        <w:t xml:space="preserve">: </w:t>
      </w:r>
    </w:p>
    <w:p w14:paraId="34AC6B60" w14:textId="77777777" w:rsidR="002B4219" w:rsidRDefault="0069269F">
      <w:pPr>
        <w:numPr>
          <w:ilvl w:val="0"/>
          <w:numId w:val="3"/>
        </w:numPr>
        <w:spacing w:line="276" w:lineRule="auto"/>
        <w:ind w:leftChars="303" w:left="965" w:hangingChars="163" w:hanging="35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reviewing the background of resource mobilization in Typhoon </w:t>
      </w:r>
      <w:r>
        <w:rPr>
          <w:rFonts w:ascii="Times New Roman" w:hAnsi="Times New Roman" w:cs="Times New Roman" w:hint="eastAsia"/>
          <w:color w:val="000000" w:themeColor="text1"/>
          <w:sz w:val="22"/>
          <w:szCs w:val="22"/>
        </w:rPr>
        <w:t>Committee;</w:t>
      </w:r>
    </w:p>
    <w:p w14:paraId="55A00C47" w14:textId="77777777" w:rsidR="002B4219" w:rsidRDefault="0069269F">
      <w:pPr>
        <w:numPr>
          <w:ilvl w:val="0"/>
          <w:numId w:val="3"/>
        </w:numPr>
        <w:spacing w:line="276" w:lineRule="auto"/>
        <w:ind w:leftChars="303" w:left="965" w:hangingChars="163" w:hanging="35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collecting the information on resource mobilization, particularly on the contribution/donation from non-Member entities, in some </w:t>
      </w:r>
      <w:r>
        <w:rPr>
          <w:rFonts w:ascii="Times New Roman" w:hAnsi="Times New Roman" w:cs="Times New Roman" w:hint="eastAsia"/>
          <w:color w:val="000000" w:themeColor="text1"/>
          <w:sz w:val="22"/>
          <w:szCs w:val="22"/>
        </w:rPr>
        <w:t>agencies;</w:t>
      </w:r>
    </w:p>
    <w:p w14:paraId="7803E7CA" w14:textId="77777777" w:rsidR="002B4219" w:rsidRDefault="0069269F">
      <w:pPr>
        <w:numPr>
          <w:ilvl w:val="0"/>
          <w:numId w:val="3"/>
        </w:numPr>
        <w:spacing w:line="276" w:lineRule="auto"/>
        <w:ind w:leftChars="303" w:left="965" w:hangingChars="163" w:hanging="35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researching the potential contributors to support TC activities. </w:t>
      </w:r>
    </w:p>
    <w:p w14:paraId="48E03515" w14:textId="77777777" w:rsidR="002B4219" w:rsidRDefault="0069269F">
      <w:pPr>
        <w:numPr>
          <w:ilvl w:val="0"/>
          <w:numId w:val="2"/>
        </w:numPr>
        <w:spacing w:beforeLines="50" w:before="120" w:afterLines="50" w:after="120" w:line="276" w:lineRule="auto"/>
        <w:jc w:val="both"/>
        <w:rPr>
          <w:rFonts w:ascii="Times New Roman" w:hAnsi="Times New Roman" w:cs="Times New Roman"/>
          <w:sz w:val="22"/>
          <w:szCs w:val="22"/>
        </w:rPr>
      </w:pPr>
      <w:r>
        <w:rPr>
          <w:rFonts w:ascii="Times New Roman" w:hAnsi="Times New Roman" w:hint="eastAsia"/>
          <w:sz w:val="22"/>
          <w:szCs w:val="22"/>
        </w:rPr>
        <w:t>At AWG meeting which was held on 26 June 2024, Seoul, Republic of Korea, AWG members reviewed the draft Resource Mobilization Report prepared by TCS and highlighted the potential benefits of developing mechanisms and governance rules to accept financial support from both Member and non-Member entities (e.g., academic, private, voluntary, and civil sectors). Positive and useful feedback was received during the discussion. AWG members also requested TCS to revise the summary report based on the AWG members' comments and present the findings for Members</w:t>
      </w:r>
      <w:r>
        <w:rPr>
          <w:rFonts w:ascii="Times New Roman" w:hAnsi="Times New Roman"/>
          <w:sz w:val="22"/>
          <w:szCs w:val="22"/>
        </w:rPr>
        <w:t>’</w:t>
      </w:r>
      <w:r>
        <w:rPr>
          <w:rFonts w:ascii="Times New Roman" w:hAnsi="Times New Roman" w:hint="eastAsia"/>
          <w:sz w:val="22"/>
          <w:szCs w:val="22"/>
        </w:rPr>
        <w:t xml:space="preserve"> consideration at TC57 (Minutes for AWG meeting on 26 JUN 2024_FINAL).</w:t>
      </w:r>
    </w:p>
    <w:p w14:paraId="5C61347A" w14:textId="77777777" w:rsidR="002B4219" w:rsidRDefault="0069269F">
      <w:pPr>
        <w:numPr>
          <w:ilvl w:val="0"/>
          <w:numId w:val="2"/>
        </w:numPr>
        <w:spacing w:beforeLines="50" w:before="120" w:afterLines="50" w:after="120" w:line="276" w:lineRule="auto"/>
        <w:jc w:val="both"/>
        <w:rPr>
          <w:rFonts w:ascii="Times New Roman" w:hAnsi="Times New Roman" w:cs="Times New Roman"/>
          <w:sz w:val="22"/>
          <w:szCs w:val="22"/>
        </w:rPr>
      </w:pPr>
      <w:r>
        <w:rPr>
          <w:rFonts w:ascii="Times New Roman" w:hAnsi="Times New Roman" w:cs="Times New Roman"/>
          <w:sz w:val="22"/>
          <w:szCs w:val="22"/>
        </w:rPr>
        <w:t xml:space="preserve">Based on the information collected in the above-mentioned research and review (details summarized in the </w:t>
      </w:r>
      <w:r>
        <w:rPr>
          <w:rFonts w:ascii="Times New Roman" w:hAnsi="Times New Roman" w:cs="Times New Roman" w:hint="eastAsia"/>
          <w:sz w:val="22"/>
          <w:szCs w:val="22"/>
        </w:rPr>
        <w:t>Appendix</w:t>
      </w:r>
      <w:r>
        <w:rPr>
          <w:rFonts w:ascii="Times New Roman" w:hAnsi="Times New Roman" w:cs="Times New Roman"/>
          <w:sz w:val="22"/>
          <w:szCs w:val="22"/>
        </w:rPr>
        <w:t>) and the feedback</w:t>
      </w:r>
      <w:r>
        <w:rPr>
          <w:rFonts w:ascii="Times New Roman" w:hAnsi="Times New Roman" w:cs="Times New Roman" w:hint="eastAsia"/>
          <w:sz w:val="22"/>
          <w:szCs w:val="22"/>
        </w:rPr>
        <w:t xml:space="preserve"> and advise</w:t>
      </w:r>
      <w:r>
        <w:rPr>
          <w:rFonts w:ascii="Times New Roman" w:hAnsi="Times New Roman" w:cs="Times New Roman"/>
          <w:sz w:val="22"/>
          <w:szCs w:val="22"/>
        </w:rPr>
        <w:t xml:space="preserve"> from the AWG </w:t>
      </w:r>
      <w:r>
        <w:rPr>
          <w:rFonts w:ascii="Times New Roman" w:hAnsi="Times New Roman" w:cs="Times New Roman" w:hint="eastAsia"/>
          <w:sz w:val="22"/>
          <w:szCs w:val="22"/>
        </w:rPr>
        <w:t>Members,</w:t>
      </w:r>
      <w:r>
        <w:rPr>
          <w:rFonts w:ascii="Times New Roman" w:hAnsi="Times New Roman" w:cs="Times New Roman"/>
          <w:sz w:val="22"/>
          <w:szCs w:val="22"/>
        </w:rPr>
        <w:t xml:space="preserve"> two major findings </w:t>
      </w:r>
      <w:r>
        <w:rPr>
          <w:rFonts w:ascii="Times New Roman" w:hAnsi="Times New Roman" w:cs="Times New Roman"/>
          <w:color w:val="000000" w:themeColor="text1"/>
          <w:sz w:val="22"/>
          <w:szCs w:val="22"/>
        </w:rPr>
        <w:t>on resource mobilization</w:t>
      </w:r>
      <w:r>
        <w:rPr>
          <w:rFonts w:ascii="Times New Roman" w:hAnsi="Times New Roman" w:cs="Times New Roman"/>
          <w:sz w:val="22"/>
          <w:szCs w:val="22"/>
        </w:rPr>
        <w:t xml:space="preserve"> are identified as below:</w:t>
      </w:r>
    </w:p>
    <w:p w14:paraId="182721F6" w14:textId="7E455804" w:rsidR="002B4219" w:rsidRDefault="0069269F">
      <w:pPr>
        <w:numPr>
          <w:ilvl w:val="0"/>
          <w:numId w:val="4"/>
        </w:numPr>
        <w:spacing w:line="276" w:lineRule="auto"/>
        <w:ind w:leftChars="303" w:left="965" w:hangingChars="163" w:hanging="35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The</w:t>
      </w:r>
      <w:r>
        <w:rPr>
          <w:rFonts w:ascii="Times New Roman" w:eastAsia="SimSun" w:hAnsi="Times New Roman" w:cs="Times New Roman"/>
          <w:color w:val="000000" w:themeColor="text1"/>
          <w:kern w:val="2"/>
          <w:sz w:val="22"/>
          <w:szCs w:val="22"/>
        </w:rPr>
        <w:t xml:space="preserve"> </w:t>
      </w:r>
      <w:r>
        <w:rPr>
          <w:rFonts w:ascii="Times New Roman" w:eastAsia="SimSun" w:hAnsi="Times New Roman" w:cs="Times New Roman"/>
          <w:color w:val="000000" w:themeColor="text1"/>
          <w:sz w:val="22"/>
          <w:szCs w:val="22"/>
        </w:rPr>
        <w:t xml:space="preserve">non-Member </w:t>
      </w:r>
      <w:r>
        <w:rPr>
          <w:rFonts w:ascii="Times New Roman" w:eastAsia="SimSun" w:hAnsi="Times New Roman" w:cs="Times New Roman" w:hint="eastAsia"/>
          <w:color w:val="000000" w:themeColor="text1"/>
          <w:sz w:val="22"/>
          <w:szCs w:val="22"/>
        </w:rPr>
        <w:t>entities'</w:t>
      </w:r>
      <w:r>
        <w:rPr>
          <w:rFonts w:ascii="Times New Roman" w:eastAsia="SimSun" w:hAnsi="Times New Roman" w:cs="Times New Roman"/>
          <w:color w:val="000000" w:themeColor="text1"/>
          <w:kern w:val="2"/>
          <w:sz w:val="22"/>
          <w:szCs w:val="22"/>
        </w:rPr>
        <w:t xml:space="preserve"> </w:t>
      </w:r>
      <w:r>
        <w:rPr>
          <w:rFonts w:ascii="Times New Roman" w:hAnsi="Times New Roman" w:cs="Times New Roman"/>
          <w:color w:val="000000" w:themeColor="text1"/>
          <w:sz w:val="22"/>
          <w:szCs w:val="22"/>
        </w:rPr>
        <w:t xml:space="preserve">donations/contributions can be a powerful force for positive change. WMO and the other entities in UN system accepted huge contributions from wide partnership including Member entities and </w:t>
      </w:r>
      <w:r>
        <w:rPr>
          <w:rFonts w:ascii="Times New Roman" w:hAnsi="Times New Roman" w:cs="Times New Roman"/>
          <w:sz w:val="22"/>
          <w:szCs w:val="22"/>
        </w:rPr>
        <w:t>non-Member entities in the voluntary, the public, private, charity, academic and civil sectors</w:t>
      </w:r>
      <w:r>
        <w:rPr>
          <w:rFonts w:ascii="Times New Roman" w:hAnsi="Times New Roman" w:cs="Times New Roman"/>
          <w:color w:val="000000" w:themeColor="text1"/>
          <w:sz w:val="22"/>
          <w:szCs w:val="22"/>
        </w:rPr>
        <w:t xml:space="preserve"> to support their activities including programme, projects, workshops, training, etc.  </w:t>
      </w:r>
    </w:p>
    <w:p w14:paraId="304E9496" w14:textId="77777777" w:rsidR="002B4219" w:rsidRDefault="0069269F">
      <w:pPr>
        <w:numPr>
          <w:ilvl w:val="0"/>
          <w:numId w:val="4"/>
        </w:numPr>
        <w:spacing w:line="276" w:lineRule="auto"/>
        <w:ind w:leftChars="303" w:left="965" w:hangingChars="163" w:hanging="359"/>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As an intergovernmental regional organization established under the auspices of ESCAP and WMO, the Typhoon Committee may consider establishing a proper mechanism and governance rules/guidelines </w:t>
      </w:r>
      <w:r>
        <w:rPr>
          <w:rFonts w:ascii="Times New Roman" w:hAnsi="Times New Roman" w:cs="Times New Roman" w:hint="eastAsia"/>
          <w:color w:val="000000" w:themeColor="text1"/>
          <w:sz w:val="22"/>
          <w:szCs w:val="22"/>
        </w:rPr>
        <w:t xml:space="preserve">or </w:t>
      </w:r>
      <w:r>
        <w:rPr>
          <w:rFonts w:ascii="Times New Roman" w:eastAsia="SimSun" w:hAnsi="Times New Roman" w:cs="Times New Roman"/>
          <w:color w:val="000000" w:themeColor="text1"/>
          <w:kern w:val="2"/>
          <w:sz w:val="22"/>
          <w:szCs w:val="22"/>
        </w:rPr>
        <w:t>due diligence criteria and procedure</w:t>
      </w:r>
      <w:r>
        <w:rPr>
          <w:rFonts w:ascii="Times New Roman" w:eastAsia="SimSun" w:hAnsi="Times New Roman" w:cs="Times New Roman" w:hint="eastAsia"/>
          <w:color w:val="000000" w:themeColor="text1"/>
          <w:kern w:val="2"/>
          <w:sz w:val="22"/>
          <w:szCs w:val="22"/>
        </w:rPr>
        <w:t xml:space="preserve"> </w:t>
      </w:r>
      <w:r>
        <w:rPr>
          <w:rFonts w:ascii="Times New Roman" w:hAnsi="Times New Roman" w:cs="Times New Roman"/>
          <w:color w:val="000000" w:themeColor="text1"/>
          <w:sz w:val="22"/>
          <w:szCs w:val="22"/>
        </w:rPr>
        <w:t>for accepting donations/support from Member and non-Member entities to support the activities of the Committee, subject to the approval of the Committee.</w:t>
      </w:r>
    </w:p>
    <w:p w14:paraId="51A71D80" w14:textId="77777777" w:rsidR="002B4219" w:rsidRDefault="0069269F">
      <w:pPr>
        <w:numPr>
          <w:ilvl w:val="0"/>
          <w:numId w:val="2"/>
        </w:numPr>
        <w:spacing w:beforeLines="50" w:before="120" w:afterLines="50" w:after="120" w:line="276" w:lineRule="auto"/>
        <w:jc w:val="both"/>
        <w:rPr>
          <w:rFonts w:ascii="Times New Roman" w:hAnsi="Times New Roman" w:cs="Times New Roman"/>
          <w:sz w:val="22"/>
          <w:szCs w:val="22"/>
        </w:rPr>
      </w:pPr>
      <w:r>
        <w:rPr>
          <w:rFonts w:ascii="Times New Roman" w:hAnsi="Times New Roman" w:cs="Times New Roman"/>
          <w:sz w:val="22"/>
          <w:szCs w:val="22"/>
        </w:rPr>
        <w:t xml:space="preserve">On this connection, TCS suggests the followings to take this matter </w:t>
      </w:r>
      <w:proofErr w:type="gramStart"/>
      <w:r>
        <w:rPr>
          <w:rFonts w:ascii="Times New Roman" w:hAnsi="Times New Roman" w:cs="Times New Roman"/>
          <w:sz w:val="22"/>
          <w:szCs w:val="22"/>
        </w:rPr>
        <w:t>forward :</w:t>
      </w:r>
      <w:proofErr w:type="gramEnd"/>
    </w:p>
    <w:p w14:paraId="13239DA1" w14:textId="77777777" w:rsidR="002B4219" w:rsidRDefault="0069269F">
      <w:pPr>
        <w:spacing w:line="276" w:lineRule="auto"/>
        <w:ind w:left="1134" w:hanging="567"/>
        <w:jc w:val="both"/>
        <w:rPr>
          <w:rFonts w:ascii="Times New Roman" w:hAnsi="Times New Roman" w:cs="Times New Roman"/>
          <w:color w:val="000000" w:themeColor="text1"/>
          <w:sz w:val="22"/>
          <w:szCs w:val="22"/>
        </w:rPr>
      </w:pPr>
      <w:bookmarkStart w:id="0" w:name="_Hlk187326028"/>
      <w:r>
        <w:rPr>
          <w:rFonts w:ascii="Times New Roman" w:hAnsi="Times New Roman" w:cs="Times New Roman"/>
          <w:color w:val="000000" w:themeColor="text1"/>
          <w:sz w:val="22"/>
          <w:szCs w:val="22"/>
        </w:rPr>
        <w:t>(</w:t>
      </w:r>
      <w:proofErr w:type="spellStart"/>
      <w:r>
        <w:rPr>
          <w:rFonts w:ascii="Times New Roman" w:hAnsi="Times New Roman" w:cs="Times New Roman"/>
          <w:color w:val="000000" w:themeColor="text1"/>
          <w:sz w:val="22"/>
          <w:szCs w:val="22"/>
        </w:rPr>
        <w:t>i</w:t>
      </w:r>
      <w:proofErr w:type="spellEnd"/>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ab/>
      </w:r>
      <w:r>
        <w:rPr>
          <w:rFonts w:ascii="Times New Roman" w:hAnsi="Times New Roman" w:cs="Times New Roman" w:hint="eastAsia"/>
          <w:color w:val="000000" w:themeColor="text1"/>
          <w:sz w:val="22"/>
          <w:szCs w:val="22"/>
        </w:rPr>
        <w:t>to invite Members to r</w:t>
      </w:r>
      <w:r>
        <w:rPr>
          <w:rFonts w:ascii="Times New Roman" w:eastAsia="SimSun" w:hAnsi="Times New Roman" w:cs="Times New Roman"/>
          <w:color w:val="000000" w:themeColor="text1"/>
          <w:sz w:val="22"/>
          <w:szCs w:val="22"/>
        </w:rPr>
        <w:t xml:space="preserve">eview the </w:t>
      </w:r>
      <w:r>
        <w:rPr>
          <w:rFonts w:ascii="Times New Roman" w:hAnsi="Times New Roman" w:cs="Times New Roman"/>
          <w:color w:val="000000" w:themeColor="text1"/>
          <w:sz w:val="22"/>
          <w:szCs w:val="22"/>
        </w:rPr>
        <w:t>progress</w:t>
      </w:r>
      <w:r>
        <w:rPr>
          <w:rFonts w:ascii="Times New Roman" w:hAnsi="Times New Roman" w:cs="Times New Roman" w:hint="eastAsia"/>
          <w:color w:val="000000" w:themeColor="text1"/>
          <w:sz w:val="22"/>
          <w:szCs w:val="22"/>
        </w:rPr>
        <w:t>es</w:t>
      </w:r>
      <w:r>
        <w:rPr>
          <w:rFonts w:ascii="Times New Roman" w:hAnsi="Times New Roman" w:cs="Times New Roman"/>
          <w:color w:val="000000" w:themeColor="text1"/>
          <w:sz w:val="22"/>
          <w:szCs w:val="22"/>
        </w:rPr>
        <w:t xml:space="preserve"> and key findings on the research of resource mobilization </w:t>
      </w:r>
      <w:r>
        <w:rPr>
          <w:rFonts w:ascii="Times New Roman" w:hAnsi="Times New Roman" w:cs="Times New Roman" w:hint="eastAsia"/>
          <w:color w:val="000000" w:themeColor="text1"/>
          <w:sz w:val="22"/>
          <w:szCs w:val="22"/>
        </w:rPr>
        <w:t>at</w:t>
      </w:r>
      <w:r>
        <w:rPr>
          <w:rFonts w:ascii="Times New Roman" w:hAnsi="Times New Roman" w:cs="Times New Roman"/>
          <w:color w:val="000000" w:themeColor="text1"/>
          <w:sz w:val="22"/>
          <w:szCs w:val="22"/>
        </w:rPr>
        <w:t xml:space="preserve"> TC57;</w:t>
      </w:r>
    </w:p>
    <w:p w14:paraId="5862F311" w14:textId="77777777" w:rsidR="002B4219" w:rsidRDefault="0069269F">
      <w:pPr>
        <w:tabs>
          <w:tab w:val="left" w:pos="425"/>
        </w:tabs>
        <w:spacing w:line="276" w:lineRule="auto"/>
        <w:ind w:left="1134" w:hanging="567"/>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(ii) </w:t>
      </w:r>
      <w:r>
        <w:rPr>
          <w:rFonts w:ascii="Times New Roman" w:hAnsi="Times New Roman" w:cs="Times New Roman"/>
          <w:color w:val="000000" w:themeColor="text1"/>
          <w:sz w:val="22"/>
          <w:szCs w:val="22"/>
        </w:rPr>
        <w:tab/>
      </w:r>
      <w:r>
        <w:rPr>
          <w:rFonts w:ascii="Times New Roman" w:hAnsi="Times New Roman" w:cs="Times New Roman" w:hint="eastAsia"/>
          <w:color w:val="000000" w:themeColor="text1"/>
          <w:sz w:val="22"/>
          <w:szCs w:val="22"/>
        </w:rPr>
        <w:t xml:space="preserve">to </w:t>
      </w:r>
      <w:r>
        <w:rPr>
          <w:rFonts w:ascii="Times New Roman" w:hAnsi="Times New Roman" w:cs="Times New Roman"/>
          <w:color w:val="000000" w:themeColor="text1"/>
          <w:sz w:val="22"/>
          <w:szCs w:val="22"/>
        </w:rPr>
        <w:t xml:space="preserve">invite Members to consider and advise on establishing </w:t>
      </w:r>
      <w:r>
        <w:rPr>
          <w:rFonts w:ascii="Times New Roman" w:hAnsi="Times New Roman" w:cs="Times New Roman" w:hint="eastAsia"/>
          <w:color w:val="000000" w:themeColor="text1"/>
          <w:sz w:val="22"/>
          <w:szCs w:val="22"/>
        </w:rPr>
        <w:t xml:space="preserve">the </w:t>
      </w:r>
      <w:r>
        <w:rPr>
          <w:rFonts w:ascii="Times New Roman" w:hAnsi="Times New Roman" w:cs="Times New Roman"/>
          <w:color w:val="000000" w:themeColor="text1"/>
          <w:sz w:val="22"/>
          <w:szCs w:val="22"/>
        </w:rPr>
        <w:t>resource mobilization mechanism and guidelines for TC to accept donations/support from Member and non-</w:t>
      </w:r>
      <w:r>
        <w:rPr>
          <w:rFonts w:ascii="Times New Roman" w:hAnsi="Times New Roman" w:cs="Times New Roman"/>
          <w:color w:val="000000" w:themeColor="text1"/>
          <w:sz w:val="22"/>
          <w:szCs w:val="22"/>
        </w:rPr>
        <w:lastRenderedPageBreak/>
        <w:t>Member entities, including the approach of setting up a task team to further explore this matter and, if appropriate, draft relevant mechanism and guidelines.</w:t>
      </w:r>
    </w:p>
    <w:p w14:paraId="6713BB40" w14:textId="77777777" w:rsidR="002B4219" w:rsidRDefault="0069269F">
      <w:pPr>
        <w:tabs>
          <w:tab w:val="left" w:pos="425"/>
        </w:tabs>
        <w:spacing w:line="276" w:lineRule="auto"/>
        <w:ind w:left="1134" w:hanging="567"/>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(iii) </w:t>
      </w:r>
      <w:r>
        <w:rPr>
          <w:rFonts w:ascii="Times New Roman" w:hAnsi="Times New Roman" w:cs="Times New Roman"/>
          <w:color w:val="000000" w:themeColor="text1"/>
          <w:sz w:val="22"/>
          <w:szCs w:val="22"/>
        </w:rPr>
        <w:tab/>
        <w:t xml:space="preserve">if required, request </w:t>
      </w:r>
      <w:r>
        <w:rPr>
          <w:rFonts w:ascii="Times New Roman" w:hAnsi="Times New Roman" w:cs="Times New Roman" w:hint="eastAsia"/>
          <w:color w:val="000000" w:themeColor="text1"/>
          <w:sz w:val="22"/>
          <w:szCs w:val="22"/>
        </w:rPr>
        <w:t xml:space="preserve">the </w:t>
      </w:r>
      <w:r>
        <w:rPr>
          <w:rFonts w:ascii="Times New Roman" w:hAnsi="Times New Roman" w:cs="Times New Roman"/>
          <w:color w:val="000000" w:themeColor="text1"/>
          <w:sz w:val="22"/>
          <w:szCs w:val="22"/>
        </w:rPr>
        <w:t>C</w:t>
      </w:r>
      <w:r>
        <w:rPr>
          <w:rFonts w:ascii="Times New Roman" w:hAnsi="Times New Roman" w:cs="Times New Roman" w:hint="eastAsia"/>
          <w:color w:val="000000" w:themeColor="text1"/>
          <w:sz w:val="22"/>
          <w:szCs w:val="22"/>
        </w:rPr>
        <w:t>ommittee</w:t>
      </w:r>
      <w:r>
        <w:rPr>
          <w:rFonts w:ascii="Times New Roman" w:hAnsi="Times New Roman" w:cs="Times New Roman"/>
          <w:color w:val="000000" w:themeColor="text1"/>
          <w:sz w:val="22"/>
          <w:szCs w:val="22"/>
        </w:rPr>
        <w:t xml:space="preserve"> to allocate TCTF budget to facilitate the work of the task team on (2) in due course.</w:t>
      </w:r>
    </w:p>
    <w:bookmarkEnd w:id="0"/>
    <w:p w14:paraId="7B036B8D" w14:textId="77777777" w:rsidR="002B4219" w:rsidRDefault="002B4219">
      <w:pPr>
        <w:spacing w:beforeLines="50" w:before="120" w:afterLines="50" w:after="120" w:line="276" w:lineRule="auto"/>
        <w:ind w:left="1134" w:hanging="567"/>
        <w:jc w:val="both"/>
        <w:rPr>
          <w:rFonts w:ascii="Times New Roman" w:hAnsi="Times New Roman" w:cs="Times New Roman"/>
          <w:color w:val="000000" w:themeColor="text1"/>
          <w:sz w:val="22"/>
          <w:szCs w:val="22"/>
        </w:rPr>
      </w:pPr>
    </w:p>
    <w:p w14:paraId="4D41F03D" w14:textId="77777777" w:rsidR="002B4219" w:rsidRDefault="0069269F">
      <w:pPr>
        <w:spacing w:beforeLines="50" w:before="120" w:afterLines="50" w:after="120" w:line="276" w:lineRule="auto"/>
        <w:ind w:leftChars="140" w:left="280"/>
        <w:jc w:val="both"/>
        <w:rPr>
          <w:rFonts w:ascii="Times New Roman" w:hAnsi="Times New Roman" w:cs="Times New Roman"/>
          <w:i/>
          <w:iCs/>
          <w:sz w:val="24"/>
          <w:szCs w:val="24"/>
        </w:rPr>
      </w:pPr>
      <w:r>
        <w:rPr>
          <w:rFonts w:ascii="Times New Roman" w:hAnsi="Times New Roman" w:cs="Times New Roman"/>
          <w:i/>
          <w:iCs/>
          <w:color w:val="000000" w:themeColor="text1"/>
          <w:sz w:val="22"/>
          <w:szCs w:val="22"/>
        </w:rPr>
        <w:t xml:space="preserve">Appendix: </w:t>
      </w:r>
      <w:r>
        <w:rPr>
          <w:rFonts w:ascii="Times New Roman" w:hAnsi="Times New Roman" w:cs="Times New Roman"/>
          <w:i/>
          <w:iCs/>
          <w:sz w:val="22"/>
          <w:szCs w:val="22"/>
        </w:rPr>
        <w:t>Background Information on Resource Mobilization</w:t>
      </w:r>
      <w:r>
        <w:rPr>
          <w:rFonts w:ascii="Times New Roman" w:hAnsi="Times New Roman" w:cs="Times New Roman"/>
          <w:i/>
          <w:iCs/>
          <w:sz w:val="24"/>
          <w:szCs w:val="24"/>
        </w:rPr>
        <w:br w:type="page"/>
      </w:r>
    </w:p>
    <w:p w14:paraId="75AA4347" w14:textId="77777777" w:rsidR="002B4219" w:rsidRDefault="0069269F">
      <w:pPr>
        <w:spacing w:beforeLines="50" w:before="120" w:afterLines="50" w:after="120" w:line="276" w:lineRule="auto"/>
        <w:jc w:val="right"/>
        <w:rPr>
          <w:rFonts w:ascii="Times New Roman" w:hAnsi="Times New Roman" w:cs="Times New Roman"/>
          <w:sz w:val="24"/>
          <w:szCs w:val="24"/>
        </w:rPr>
      </w:pPr>
      <w:r>
        <w:rPr>
          <w:rFonts w:ascii="Times New Roman" w:hAnsi="Times New Roman" w:cs="Times New Roman" w:hint="eastAsia"/>
          <w:sz w:val="24"/>
          <w:szCs w:val="24"/>
        </w:rPr>
        <w:lastRenderedPageBreak/>
        <w:t>A</w:t>
      </w:r>
      <w:r>
        <w:rPr>
          <w:rFonts w:ascii="Times New Roman" w:hAnsi="Times New Roman" w:cs="Times New Roman"/>
          <w:sz w:val="24"/>
          <w:szCs w:val="24"/>
        </w:rPr>
        <w:t xml:space="preserve">ppendix </w:t>
      </w:r>
    </w:p>
    <w:p w14:paraId="1FE3E2F2" w14:textId="77777777" w:rsidR="002B4219" w:rsidRDefault="002B4219">
      <w:pPr>
        <w:jc w:val="center"/>
        <w:rPr>
          <w:rFonts w:ascii="Times New Roman" w:hAnsi="Times New Roman" w:cs="Times New Roman"/>
          <w:b/>
          <w:bCs/>
          <w:sz w:val="28"/>
          <w:szCs w:val="28"/>
        </w:rPr>
      </w:pPr>
    </w:p>
    <w:p w14:paraId="048623FA" w14:textId="77777777" w:rsidR="002B4219" w:rsidRDefault="0069269F">
      <w:pPr>
        <w:jc w:val="center"/>
        <w:rPr>
          <w:rFonts w:ascii="Times New Roman" w:hAnsi="Times New Roman" w:cs="Times New Roman"/>
          <w:b/>
          <w:bCs/>
          <w:sz w:val="24"/>
          <w:szCs w:val="24"/>
        </w:rPr>
      </w:pPr>
      <w:r>
        <w:rPr>
          <w:rFonts w:ascii="Times New Roman" w:hAnsi="Times New Roman" w:cs="Times New Roman"/>
          <w:b/>
          <w:bCs/>
          <w:sz w:val="28"/>
          <w:szCs w:val="28"/>
        </w:rPr>
        <w:t>Background Information on Resource Mobilization</w:t>
      </w:r>
      <w:r>
        <w:rPr>
          <w:rFonts w:ascii="Times New Roman" w:hAnsi="Times New Roman" w:cs="Times New Roman"/>
          <w:b/>
          <w:bCs/>
          <w:sz w:val="24"/>
          <w:szCs w:val="24"/>
        </w:rPr>
        <w:t xml:space="preserve"> </w:t>
      </w:r>
    </w:p>
    <w:p w14:paraId="291EDAEE" w14:textId="77777777" w:rsidR="002B4219" w:rsidRDefault="002B4219">
      <w:pPr>
        <w:rPr>
          <w:rFonts w:ascii="Times New Roman" w:hAnsi="Times New Roman" w:cs="Times New Roman"/>
          <w:sz w:val="24"/>
          <w:szCs w:val="24"/>
        </w:rPr>
      </w:pPr>
    </w:p>
    <w:p w14:paraId="1FC19D47" w14:textId="77777777" w:rsidR="002B4219" w:rsidRDefault="0069269F">
      <w:pPr>
        <w:jc w:val="center"/>
        <w:rPr>
          <w:rFonts w:ascii="Times New Roman" w:hAnsi="Times New Roman" w:cs="Times New Roman"/>
          <w:sz w:val="24"/>
          <w:szCs w:val="24"/>
        </w:rPr>
      </w:pPr>
      <w:r>
        <w:rPr>
          <w:rFonts w:ascii="Times New Roman" w:hAnsi="Times New Roman" w:cs="Times New Roman"/>
          <w:sz w:val="24"/>
          <w:szCs w:val="24"/>
        </w:rPr>
        <w:t>Typhoon Committee Secretariat (TCS)</w:t>
      </w:r>
    </w:p>
    <w:p w14:paraId="61BB64D6" w14:textId="77777777" w:rsidR="002B4219" w:rsidRDefault="0069269F">
      <w:pPr>
        <w:jc w:val="center"/>
        <w:rPr>
          <w:rFonts w:ascii="Times New Roman" w:hAnsi="Times New Roman" w:cs="Times New Roman"/>
          <w:sz w:val="24"/>
          <w:szCs w:val="24"/>
        </w:rPr>
      </w:pPr>
      <w:r>
        <w:rPr>
          <w:rFonts w:ascii="Times New Roman" w:hAnsi="Times New Roman" w:cs="Times New Roman"/>
          <w:sz w:val="24"/>
          <w:szCs w:val="24"/>
        </w:rPr>
        <w:t>May 2024</w:t>
      </w:r>
    </w:p>
    <w:p w14:paraId="6D1860D9" w14:textId="77777777" w:rsidR="002B4219" w:rsidRDefault="002B4219">
      <w:pPr>
        <w:jc w:val="center"/>
        <w:rPr>
          <w:rFonts w:ascii="Times New Roman" w:hAnsi="Times New Roman" w:cs="Times New Roman"/>
          <w:sz w:val="24"/>
          <w:szCs w:val="24"/>
        </w:rPr>
      </w:pPr>
    </w:p>
    <w:p w14:paraId="5B484F61" w14:textId="77777777" w:rsidR="002B4219" w:rsidRDefault="0069269F">
      <w:pPr>
        <w:numPr>
          <w:ilvl w:val="0"/>
          <w:numId w:val="5"/>
        </w:numPr>
        <w:spacing w:beforeLines="100" w:before="240" w:afterLines="100" w:after="240" w:line="288"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Reviewing the Development of RM in TC</w:t>
      </w:r>
    </w:p>
    <w:p w14:paraId="001A2178" w14:textId="77777777" w:rsidR="002B4219" w:rsidRDefault="0069269F">
      <w:pPr>
        <w:numPr>
          <w:ilvl w:val="0"/>
          <w:numId w:val="6"/>
        </w:numPr>
        <w:spacing w:beforeLines="50" w:before="120" w:afterLines="50" w:after="120" w:line="288" w:lineRule="auto"/>
        <w:jc w:val="both"/>
        <w:rPr>
          <w:rFonts w:ascii="Times New Roman" w:hAnsi="Times New Roman" w:cs="Times New Roman"/>
          <w:sz w:val="22"/>
          <w:szCs w:val="22"/>
        </w:rPr>
      </w:pPr>
      <w:r>
        <w:rPr>
          <w:rFonts w:ascii="Times New Roman" w:hAnsi="Times New Roman" w:cs="Times New Roman"/>
          <w:sz w:val="22"/>
          <w:szCs w:val="22"/>
        </w:rPr>
        <w:t>At the 38</w:t>
      </w:r>
      <w:r>
        <w:rPr>
          <w:rFonts w:ascii="Times New Roman" w:hAnsi="Times New Roman" w:cs="Times New Roman"/>
          <w:sz w:val="22"/>
          <w:szCs w:val="22"/>
          <w:vertAlign w:val="superscript"/>
        </w:rPr>
        <w:t>th</w:t>
      </w:r>
      <w:r>
        <w:rPr>
          <w:rFonts w:ascii="Times New Roman" w:hAnsi="Times New Roman" w:cs="Times New Roman"/>
          <w:sz w:val="22"/>
          <w:szCs w:val="22"/>
        </w:rPr>
        <w:t xml:space="preserve"> Annual Session of the Committee which was held in Hanoi, Vietnam from 14 to 19 November 2005, in view of the Session’s conclusions, the Committee decided to establish the Working Group on Resource Mobilization (the name was changed later to Resource Mobilization Group - RMG) with Terms of Reference (TOR) (as attached in Annex 1).</w:t>
      </w:r>
    </w:p>
    <w:p w14:paraId="0582BB49" w14:textId="77777777" w:rsidR="002B4219" w:rsidRDefault="0069269F">
      <w:pPr>
        <w:numPr>
          <w:ilvl w:val="0"/>
          <w:numId w:val="6"/>
        </w:numPr>
        <w:spacing w:beforeLines="50" w:before="120" w:afterLines="50" w:after="120" w:line="288" w:lineRule="auto"/>
        <w:jc w:val="both"/>
        <w:rPr>
          <w:rFonts w:ascii="Times New Roman" w:hAnsi="Times New Roman" w:cs="Times New Roman"/>
          <w:sz w:val="22"/>
          <w:szCs w:val="22"/>
        </w:rPr>
      </w:pPr>
      <w:r>
        <w:rPr>
          <w:rFonts w:ascii="Times New Roman" w:hAnsi="Times New Roman" w:cs="Times New Roman"/>
          <w:sz w:val="22"/>
          <w:szCs w:val="22"/>
        </w:rPr>
        <w:t xml:space="preserve">In the TOR of RMG, it stated the mobilization of the resource from funding agencies with a view to soliciting financial support for projects implementation of TC. It also emphasized the facilitation of the exchange and sharing of experience and knowledge on issues related to RM in      TC. </w:t>
      </w:r>
    </w:p>
    <w:p w14:paraId="035785F7" w14:textId="77777777" w:rsidR="002B4219" w:rsidRDefault="0069269F">
      <w:pPr>
        <w:numPr>
          <w:ilvl w:val="0"/>
          <w:numId w:val="6"/>
        </w:numPr>
        <w:spacing w:beforeLines="50" w:before="120" w:afterLines="50" w:after="120" w:line="288" w:lineRule="auto"/>
        <w:jc w:val="both"/>
        <w:rPr>
          <w:rFonts w:ascii="Times New Roman" w:hAnsi="Times New Roman" w:cs="Times New Roman"/>
          <w:sz w:val="22"/>
          <w:szCs w:val="22"/>
        </w:rPr>
      </w:pPr>
      <w:r>
        <w:rPr>
          <w:rFonts w:ascii="Times New Roman" w:hAnsi="Times New Roman" w:cs="Times New Roman"/>
          <w:sz w:val="22"/>
          <w:szCs w:val="22"/>
        </w:rPr>
        <w:t>Due to the limitations of many premature conditions during the period, the RMG could not fully and effectively play its roles and failed to achieve a satisfactory result. In this connection, at the 44</w:t>
      </w:r>
      <w:r>
        <w:rPr>
          <w:rFonts w:ascii="Times New Roman" w:hAnsi="Times New Roman" w:cs="Times New Roman"/>
          <w:sz w:val="22"/>
          <w:szCs w:val="22"/>
          <w:vertAlign w:val="superscript"/>
        </w:rPr>
        <w:t>th</w:t>
      </w:r>
      <w:r>
        <w:rPr>
          <w:rFonts w:ascii="Times New Roman" w:hAnsi="Times New Roman" w:cs="Times New Roman"/>
          <w:sz w:val="22"/>
          <w:szCs w:val="22"/>
        </w:rPr>
        <w:t xml:space="preserve"> Session which was held Hangzhou, China in 2012, the Committee decided that:</w:t>
      </w:r>
    </w:p>
    <w:p w14:paraId="4FBAF72F" w14:textId="77777777" w:rsidR="002B4219" w:rsidRDefault="0069269F">
      <w:pPr>
        <w:numPr>
          <w:ilvl w:val="0"/>
          <w:numId w:val="7"/>
        </w:numPr>
        <w:tabs>
          <w:tab w:val="clear" w:pos="425"/>
          <w:tab w:val="left" w:pos="1000"/>
        </w:tabs>
        <w:spacing w:line="276" w:lineRule="auto"/>
        <w:ind w:left="998"/>
        <w:jc w:val="both"/>
        <w:rPr>
          <w:rFonts w:ascii="Times New Roman" w:hAnsi="Times New Roman" w:cs="Times New Roman"/>
          <w:sz w:val="22"/>
          <w:szCs w:val="22"/>
        </w:rPr>
      </w:pPr>
      <w:r>
        <w:rPr>
          <w:rFonts w:ascii="Times New Roman" w:hAnsi="Times New Roman" w:cs="Times New Roman"/>
          <w:sz w:val="22"/>
          <w:szCs w:val="22"/>
        </w:rPr>
        <w:t xml:space="preserve">The AWG looks into formally disbanding the Resource Mobilization Group and incorporates the RMG activities into other groups within the scope of the AWG with collaboration from ESCAP and WMO. </w:t>
      </w:r>
    </w:p>
    <w:p w14:paraId="52A99E4E" w14:textId="77777777" w:rsidR="002B4219" w:rsidRDefault="0069269F">
      <w:pPr>
        <w:numPr>
          <w:ilvl w:val="0"/>
          <w:numId w:val="7"/>
        </w:numPr>
        <w:tabs>
          <w:tab w:val="clear" w:pos="425"/>
          <w:tab w:val="left" w:pos="1000"/>
        </w:tabs>
        <w:spacing w:line="276" w:lineRule="auto"/>
        <w:ind w:left="998"/>
        <w:jc w:val="both"/>
        <w:rPr>
          <w:rFonts w:ascii="Times New Roman" w:hAnsi="Times New Roman" w:cs="Times New Roman"/>
          <w:color w:val="000000" w:themeColor="text1"/>
          <w:sz w:val="22"/>
          <w:szCs w:val="22"/>
        </w:rPr>
      </w:pPr>
      <w:r>
        <w:rPr>
          <w:rFonts w:ascii="Times New Roman" w:hAnsi="Times New Roman" w:cs="Times New Roman"/>
          <w:sz w:val="22"/>
          <w:szCs w:val="22"/>
        </w:rPr>
        <w:t xml:space="preserve">To formally disband the Resource Mobilization Group and </w:t>
      </w:r>
      <w:r>
        <w:rPr>
          <w:rFonts w:ascii="Times New Roman" w:hAnsi="Times New Roman" w:cs="Times New Roman"/>
          <w:color w:val="000000" w:themeColor="text1"/>
          <w:sz w:val="22"/>
          <w:szCs w:val="22"/>
        </w:rPr>
        <w:t xml:space="preserve">to request TCS to collaborate with WMO and ESCAP for Resource Mobilization activities and amend the documents referring to RMG accordingly. </w:t>
      </w:r>
    </w:p>
    <w:p w14:paraId="502B066E" w14:textId="77777777" w:rsidR="002B4219" w:rsidRDefault="0069269F">
      <w:pPr>
        <w:numPr>
          <w:ilvl w:val="0"/>
          <w:numId w:val="6"/>
        </w:numPr>
        <w:spacing w:beforeLines="50" w:before="120" w:afterLines="50" w:after="120" w:line="288" w:lineRule="auto"/>
        <w:jc w:val="both"/>
        <w:rPr>
          <w:rFonts w:ascii="Times New Roman" w:hAnsi="Times New Roman" w:cs="Times New Roman"/>
          <w:sz w:val="22"/>
          <w:szCs w:val="22"/>
        </w:rPr>
      </w:pPr>
      <w:r>
        <w:rPr>
          <w:rFonts w:ascii="Times New Roman" w:hAnsi="Times New Roman" w:cs="Times New Roman"/>
          <w:sz w:val="22"/>
          <w:szCs w:val="22"/>
        </w:rPr>
        <w:t>The importance of resource mobilization has been emphasized in all editions of the Strategic Plan of the Committee. The relevant provisions are set out in Annex 2.</w:t>
      </w:r>
    </w:p>
    <w:p w14:paraId="1DA2799D" w14:textId="77777777" w:rsidR="002B4219" w:rsidRDefault="0069269F">
      <w:pPr>
        <w:numPr>
          <w:ilvl w:val="0"/>
          <w:numId w:val="5"/>
        </w:numPr>
        <w:spacing w:beforeLines="100" w:before="240" w:afterLines="100" w:after="240" w:line="288"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Information on RM in Some Agencies</w:t>
      </w:r>
    </w:p>
    <w:p w14:paraId="27972B21" w14:textId="77777777" w:rsidR="002B4219" w:rsidRDefault="0069269F">
      <w:pPr>
        <w:numPr>
          <w:ilvl w:val="0"/>
          <w:numId w:val="6"/>
        </w:numPr>
        <w:spacing w:beforeLines="50" w:before="120" w:afterLines="50" w:after="120" w:line="288" w:lineRule="auto"/>
        <w:jc w:val="both"/>
        <w:rPr>
          <w:rFonts w:ascii="Times New Roman" w:hAnsi="Times New Roman" w:cs="Times New Roman"/>
          <w:sz w:val="22"/>
          <w:szCs w:val="22"/>
        </w:rPr>
      </w:pPr>
      <w:r>
        <w:rPr>
          <w:rFonts w:ascii="Times New Roman" w:hAnsi="Times New Roman" w:cs="Times New Roman"/>
          <w:sz w:val="22"/>
          <w:szCs w:val="22"/>
        </w:rPr>
        <w:t>The World Meteorological Organization (</w:t>
      </w:r>
      <w:r>
        <w:rPr>
          <w:rFonts w:ascii="Times New Roman" w:hAnsi="Times New Roman" w:cs="Times New Roman"/>
          <w:b/>
          <w:bCs/>
          <w:sz w:val="22"/>
          <w:szCs w:val="22"/>
        </w:rPr>
        <w:t>WMO</w:t>
      </w:r>
      <w:r>
        <w:rPr>
          <w:rFonts w:ascii="Times New Roman" w:hAnsi="Times New Roman" w:cs="Times New Roman"/>
          <w:sz w:val="22"/>
          <w:szCs w:val="22"/>
        </w:rPr>
        <w:t>) collaborates with the private sector to enhance early warning systems and address climate-related risks. the private sector’s involvement in funding and supporting early warning systems is essential for global resilience against natural hazards and extreme events. By working together, we can better protect communities and ensure timely alerts for all. Here are some key points regarding funding contributions from private sectors in the WMO:</w:t>
      </w:r>
    </w:p>
    <w:p w14:paraId="6D5E4E34" w14:textId="77777777" w:rsidR="002B4219" w:rsidRDefault="0069269F">
      <w:pPr>
        <w:pStyle w:val="NormalWeb"/>
        <w:numPr>
          <w:ilvl w:val="0"/>
          <w:numId w:val="8"/>
        </w:numPr>
        <w:tabs>
          <w:tab w:val="clear" w:pos="420"/>
        </w:tabs>
        <w:spacing w:beforeLines="50" w:before="120" w:beforeAutospacing="0" w:afterLines="50" w:after="120" w:afterAutospacing="0" w:line="288" w:lineRule="auto"/>
        <w:ind w:left="799"/>
        <w:rPr>
          <w:rStyle w:val="Strong"/>
          <w:rFonts w:eastAsia="Segoe UI"/>
          <w:color w:val="111111"/>
          <w:sz w:val="22"/>
          <w:szCs w:val="22"/>
          <w:shd w:val="clear" w:color="auto" w:fill="F9F9F9"/>
        </w:rPr>
      </w:pPr>
      <w:r>
        <w:rPr>
          <w:rStyle w:val="Strong"/>
          <w:rFonts w:eastAsia="Segoe UI"/>
          <w:color w:val="111111"/>
          <w:sz w:val="22"/>
          <w:szCs w:val="22"/>
          <w:shd w:val="clear" w:color="auto" w:fill="F9F9F9"/>
        </w:rPr>
        <w:t>Early Warnings for All Initiative:</w:t>
      </w:r>
    </w:p>
    <w:p w14:paraId="55EB0A17"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At the request of UN Secretary-General, the WMO leads the Early Warnings for All initiative.</w:t>
      </w:r>
    </w:p>
    <w:p w14:paraId="34EEEF18"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The goal is to ensure that every person worldwide is protected by early warning systems within the next five years.</w:t>
      </w:r>
    </w:p>
    <w:p w14:paraId="4D574449"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Private sector entities, including Big Tech companies, are actively supporting this campaign.</w:t>
      </w:r>
    </w:p>
    <w:p w14:paraId="27E372D2"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Implementation of Early Warnings for All (EW4All) will require significant financial resources with the Executive Action Plan calling for new targeted investments estimated at US$ 3.1 Billion between 2023 to 2027. To mobilize and efficiently utilize this volume of financing, WMO and its partners are pursuing coordination between funders and implementers.</w:t>
      </w:r>
    </w:p>
    <w:p w14:paraId="5BB8B502" w14:textId="77777777" w:rsidR="002B4219" w:rsidRDefault="0069269F">
      <w:pPr>
        <w:pStyle w:val="NormalWeb"/>
        <w:numPr>
          <w:ilvl w:val="0"/>
          <w:numId w:val="8"/>
        </w:numPr>
        <w:tabs>
          <w:tab w:val="clear" w:pos="420"/>
        </w:tabs>
        <w:spacing w:beforeLines="50" w:before="120" w:beforeAutospacing="0" w:afterLines="50" w:after="120" w:afterAutospacing="0" w:line="288" w:lineRule="auto"/>
        <w:ind w:left="799"/>
        <w:rPr>
          <w:rStyle w:val="Strong"/>
          <w:rFonts w:eastAsia="Segoe UI"/>
          <w:color w:val="111111"/>
          <w:sz w:val="22"/>
          <w:szCs w:val="22"/>
          <w:shd w:val="clear" w:color="auto" w:fill="F9F9F9"/>
        </w:rPr>
      </w:pPr>
      <w:r>
        <w:rPr>
          <w:rStyle w:val="Strong"/>
          <w:rFonts w:eastAsia="Segoe UI"/>
          <w:color w:val="111111"/>
          <w:sz w:val="22"/>
          <w:szCs w:val="22"/>
          <w:shd w:val="clear" w:color="auto" w:fill="F9F9F9"/>
        </w:rPr>
        <w:t>Technical Conference and Collaboration:</w:t>
      </w:r>
    </w:p>
    <w:p w14:paraId="5804FBF2"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A recent one-day technical conference brought together various stakeholders, including WMO members, disaster risk reduction communities, and private hydro-meteorological sector representatives.</w:t>
      </w:r>
    </w:p>
    <w:p w14:paraId="5242542C"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The conference emphasized the importance of global multi-hazard early warnings and called for collaboration to protect vulnerable populations.</w:t>
      </w:r>
    </w:p>
    <w:p w14:paraId="55A3ECFB"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Private sector organizations like Alibaba, F24, Google, IBM, Microsoft, and Smart Communications expressed commitments to the initiative.</w:t>
      </w:r>
    </w:p>
    <w:p w14:paraId="0CC74097"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They highlighted opportunities arising from advancements in cloud computing, artificial intelligence, and digital platforms to improve early warning services.</w:t>
      </w:r>
    </w:p>
    <w:p w14:paraId="53058771" w14:textId="77777777" w:rsidR="002B4219" w:rsidRDefault="0069269F">
      <w:pPr>
        <w:pStyle w:val="NormalWeb"/>
        <w:numPr>
          <w:ilvl w:val="0"/>
          <w:numId w:val="8"/>
        </w:numPr>
        <w:tabs>
          <w:tab w:val="clear" w:pos="420"/>
        </w:tabs>
        <w:spacing w:beforeLines="50" w:before="120" w:beforeAutospacing="0" w:afterLines="50" w:after="120" w:afterAutospacing="0" w:line="288" w:lineRule="auto"/>
        <w:ind w:left="799"/>
        <w:rPr>
          <w:rStyle w:val="Strong"/>
          <w:rFonts w:eastAsia="Segoe UI"/>
          <w:color w:val="111111"/>
          <w:sz w:val="22"/>
          <w:szCs w:val="22"/>
          <w:shd w:val="clear" w:color="auto" w:fill="F9F9F9"/>
        </w:rPr>
      </w:pPr>
      <w:r>
        <w:rPr>
          <w:rStyle w:val="Strong"/>
          <w:rFonts w:eastAsia="Segoe UI"/>
          <w:color w:val="111111"/>
          <w:sz w:val="22"/>
          <w:szCs w:val="22"/>
          <w:shd w:val="clear" w:color="auto" w:fill="F9F9F9"/>
        </w:rPr>
        <w:t>Public-Private Engagement (PPE):</w:t>
      </w:r>
    </w:p>
    <w:p w14:paraId="1629E8CC"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Collaboration between public and private sectors is crucial.</w:t>
      </w:r>
    </w:p>
    <w:p w14:paraId="60D49F6B"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National Meteorological and Hydrological Services (NMHS) play an authoritative role in issuing weather, water, and climate-related warnings.</w:t>
      </w:r>
    </w:p>
    <w:p w14:paraId="57F4A662"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WMO members possess distinct skills in data collection, modeling, forecasting, and warning dissemination.</w:t>
      </w:r>
    </w:p>
    <w:p w14:paraId="5F9FE7A0"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Effective PPE efforts aim to leverage additional funding sources and enhance early warning infrastructure.</w:t>
      </w:r>
    </w:p>
    <w:p w14:paraId="1485BFCB" w14:textId="77777777" w:rsidR="002B4219" w:rsidRDefault="0069269F">
      <w:pPr>
        <w:numPr>
          <w:ilvl w:val="0"/>
          <w:numId w:val="6"/>
        </w:numPr>
        <w:spacing w:beforeLines="50" w:before="120" w:afterLines="50" w:after="120" w:line="288" w:lineRule="auto"/>
        <w:jc w:val="both"/>
        <w:rPr>
          <w:rFonts w:ascii="Times New Roman" w:hAnsi="Times New Roman" w:cs="Times New Roman"/>
          <w:sz w:val="22"/>
          <w:szCs w:val="22"/>
        </w:rPr>
      </w:pPr>
      <w:r>
        <w:rPr>
          <w:rFonts w:ascii="Times New Roman" w:hAnsi="Times New Roman" w:cs="Times New Roman"/>
          <w:sz w:val="22"/>
          <w:szCs w:val="22"/>
        </w:rPr>
        <w:t xml:space="preserve">Terms of Reference of </w:t>
      </w:r>
      <w:r>
        <w:rPr>
          <w:rFonts w:ascii="Times New Roman" w:hAnsi="Times New Roman" w:cs="Times New Roman"/>
          <w:b/>
          <w:bCs/>
          <w:sz w:val="22"/>
          <w:szCs w:val="22"/>
        </w:rPr>
        <w:t>WMO Public-Private Engagement (PPE)</w:t>
      </w:r>
      <w:r>
        <w:rPr>
          <w:rFonts w:ascii="Times New Roman" w:hAnsi="Times New Roman" w:cs="Times New Roman"/>
          <w:sz w:val="22"/>
          <w:szCs w:val="22"/>
        </w:rPr>
        <w:t xml:space="preserve"> </w:t>
      </w:r>
      <w:r>
        <w:rPr>
          <w:rFonts w:ascii="Times New Roman" w:hAnsi="Times New Roman" w:cs="Times New Roman"/>
          <w:b/>
          <w:bCs/>
          <w:sz w:val="22"/>
          <w:szCs w:val="22"/>
        </w:rPr>
        <w:t>Trust Fund</w:t>
      </w:r>
    </w:p>
    <w:p w14:paraId="6A1B79FA"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This Trust Fund is expected to be financed by funds from Members, as well as non-Member entities in the public, private, academic and civil sectors.</w:t>
      </w:r>
    </w:p>
    <w:p w14:paraId="3B23649B"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The TOR identified the Secretary-General of WMO shall administer the Trust Fund in accordance with the WMO Financial Regulations and Standing Instructions and established procedures of WMO, supplemented by the present Terms of Reference.</w:t>
      </w:r>
    </w:p>
    <w:p w14:paraId="57D760A7"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The TOR also stipulated the Procedures for the utilization of the Trust Fund, the legal responsibilities and the review of these Terms of Reference.</w:t>
      </w:r>
    </w:p>
    <w:p w14:paraId="7CA3D868" w14:textId="77777777" w:rsidR="002B4219" w:rsidRDefault="0069269F">
      <w:pPr>
        <w:numPr>
          <w:ilvl w:val="0"/>
          <w:numId w:val="6"/>
        </w:numPr>
        <w:spacing w:beforeLines="50" w:before="120" w:afterLines="50" w:after="120" w:line="288" w:lineRule="auto"/>
        <w:jc w:val="both"/>
        <w:rPr>
          <w:rFonts w:ascii="Times New Roman" w:hAnsi="Times New Roman" w:cs="Times New Roman"/>
          <w:sz w:val="22"/>
          <w:szCs w:val="22"/>
        </w:rPr>
      </w:pPr>
      <w:r>
        <w:rPr>
          <w:rFonts w:ascii="Times New Roman" w:hAnsi="Times New Roman" w:cs="Times New Roman"/>
          <w:sz w:val="22"/>
          <w:szCs w:val="22"/>
        </w:rPr>
        <w:t>The </w:t>
      </w:r>
      <w:r>
        <w:rPr>
          <w:rFonts w:ascii="Times New Roman" w:hAnsi="Times New Roman" w:cs="Times New Roman"/>
          <w:b/>
          <w:bCs/>
          <w:sz w:val="22"/>
          <w:szCs w:val="22"/>
        </w:rPr>
        <w:t>United Nations University Institute in Macau (UNU Macau)</w:t>
      </w:r>
      <w:r>
        <w:rPr>
          <w:rFonts w:ascii="Times New Roman" w:hAnsi="Times New Roman" w:cs="Times New Roman"/>
          <w:sz w:val="22"/>
          <w:szCs w:val="22"/>
        </w:rPr>
        <w:t xml:space="preserve"> (</w:t>
      </w:r>
      <w:hyperlink r:id="rId8" w:history="1">
        <w:r>
          <w:rPr>
            <w:rStyle w:val="Hyperlink"/>
            <w:rFonts w:ascii="Times New Roman" w:eastAsia="SimSun" w:hAnsi="Times New Roman" w:cs="Times New Roman"/>
            <w:sz w:val="22"/>
            <w:szCs w:val="22"/>
          </w:rPr>
          <w:t>About | United Nations University (unu.edu)</w:t>
        </w:r>
      </w:hyperlink>
      <w:r>
        <w:rPr>
          <w:rFonts w:ascii="Times New Roman" w:hAnsi="Times New Roman" w:cs="Times New Roman"/>
          <w:sz w:val="22"/>
          <w:szCs w:val="22"/>
        </w:rPr>
        <w:t xml:space="preserve">) is a United Nations (UN) global think tank conducting research and training on digital technologies for sustainable development, encouraging data-driven and evidence-based actions and policies to achieve the Sustainable Development Goals. The staff are formal members of the United Nations staff holding the United Nations Laissez-Passer (passport). UNU Macau conducts a series of events every year including the training/courses and seminars attended by dozens of people, and the large workshops/conferences attended by hundreds of people. These events were supported by wide sponsorship from governments, institutes, universities, public and private companies including gambling industry.  </w:t>
      </w:r>
    </w:p>
    <w:p w14:paraId="34B203A5" w14:textId="77777777" w:rsidR="002B4219" w:rsidRDefault="0069269F">
      <w:pPr>
        <w:numPr>
          <w:ilvl w:val="0"/>
          <w:numId w:val="6"/>
        </w:numPr>
        <w:spacing w:beforeLines="50" w:before="120" w:afterLines="50" w:after="120" w:line="288" w:lineRule="auto"/>
        <w:jc w:val="both"/>
        <w:rPr>
          <w:rFonts w:ascii="Times New Roman" w:hAnsi="Times New Roman" w:cs="Times New Roman"/>
          <w:sz w:val="22"/>
          <w:szCs w:val="22"/>
        </w:rPr>
      </w:pPr>
      <w:r>
        <w:rPr>
          <w:rFonts w:ascii="Times New Roman" w:hAnsi="Times New Roman" w:cs="Times New Roman"/>
          <w:sz w:val="22"/>
          <w:szCs w:val="22"/>
        </w:rPr>
        <w:t xml:space="preserve">As an intergovernmental regional organization established under the auspices of ESCAP and WMO, the Typhoon Committee may consider establishing a proper mechanism and governance </w:t>
      </w:r>
      <w:r>
        <w:rPr>
          <w:rFonts w:ascii="Times New Roman" w:hAnsi="Times New Roman" w:cs="Times New Roman"/>
          <w:sz w:val="22"/>
          <w:szCs w:val="22"/>
        </w:rPr>
        <w:lastRenderedPageBreak/>
        <w:t xml:space="preserve">rules/guidelines </w:t>
      </w:r>
      <w:r>
        <w:rPr>
          <w:rFonts w:ascii="Times New Roman" w:hAnsi="Times New Roman" w:cs="Times New Roman" w:hint="eastAsia"/>
          <w:sz w:val="22"/>
          <w:szCs w:val="22"/>
        </w:rPr>
        <w:t xml:space="preserve">or </w:t>
      </w:r>
      <w:r>
        <w:rPr>
          <w:rFonts w:ascii="Times New Roman" w:hAnsi="Times New Roman" w:cs="Times New Roman"/>
          <w:sz w:val="22"/>
          <w:szCs w:val="22"/>
        </w:rPr>
        <w:t>due diligence criteria and procedure</w:t>
      </w:r>
      <w:r>
        <w:rPr>
          <w:rFonts w:ascii="Times New Roman" w:hAnsi="Times New Roman" w:cs="Times New Roman" w:hint="eastAsia"/>
          <w:sz w:val="22"/>
          <w:szCs w:val="22"/>
        </w:rPr>
        <w:t xml:space="preserve"> </w:t>
      </w:r>
      <w:r>
        <w:rPr>
          <w:rFonts w:ascii="Times New Roman" w:hAnsi="Times New Roman" w:cs="Times New Roman"/>
          <w:sz w:val="22"/>
          <w:szCs w:val="22"/>
        </w:rPr>
        <w:t>for accepting donations/support from Member and non-Member entities to support the activities of the Committee, subject to the approval of the Committee.</w:t>
      </w:r>
    </w:p>
    <w:p w14:paraId="2C42A024" w14:textId="77777777" w:rsidR="002B4219" w:rsidRDefault="0069269F">
      <w:pPr>
        <w:numPr>
          <w:ilvl w:val="0"/>
          <w:numId w:val="5"/>
        </w:numPr>
        <w:spacing w:beforeLines="100" w:before="240" w:afterLines="100" w:after="240" w:line="288"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Information on How to Manage the Donation from the Non-Member Entities</w:t>
      </w:r>
    </w:p>
    <w:p w14:paraId="13065EB2" w14:textId="77777777" w:rsidR="002B4219" w:rsidRDefault="0069269F">
      <w:pPr>
        <w:numPr>
          <w:ilvl w:val="0"/>
          <w:numId w:val="6"/>
        </w:numPr>
        <w:spacing w:beforeLines="50" w:before="120" w:afterLines="50" w:after="120" w:line="288" w:lineRule="auto"/>
        <w:jc w:val="both"/>
        <w:rPr>
          <w:rFonts w:ascii="Times New Roman" w:hAnsi="Times New Roman" w:cs="Times New Roman"/>
          <w:sz w:val="22"/>
          <w:szCs w:val="22"/>
        </w:rPr>
      </w:pPr>
      <w:r>
        <w:rPr>
          <w:rFonts w:ascii="Times New Roman" w:hAnsi="Times New Roman" w:cs="Times New Roman"/>
          <w:sz w:val="22"/>
          <w:szCs w:val="22"/>
        </w:rPr>
        <w:t xml:space="preserve">Donations from </w:t>
      </w:r>
      <w:r>
        <w:rPr>
          <w:rFonts w:ascii="Times New Roman" w:eastAsia="SimSun" w:hAnsi="Times New Roman" w:cs="Times New Roman"/>
          <w:color w:val="000000" w:themeColor="text1"/>
          <w:sz w:val="22"/>
          <w:szCs w:val="22"/>
        </w:rPr>
        <w:t>non-Member entities</w:t>
      </w:r>
      <w:r>
        <w:rPr>
          <w:rFonts w:ascii="Times New Roman" w:hAnsi="Times New Roman" w:cs="Times New Roman"/>
          <w:sz w:val="22"/>
          <w:szCs w:val="22"/>
        </w:rPr>
        <w:t xml:space="preserve"> can be a valuable source of support for organizations like </w:t>
      </w:r>
      <w:r>
        <w:rPr>
          <w:rFonts w:ascii="Times New Roman" w:hAnsi="Times New Roman" w:cs="Times New Roman" w:hint="eastAsia"/>
          <w:sz w:val="22"/>
          <w:szCs w:val="22"/>
        </w:rPr>
        <w:t>Typhoon Committee</w:t>
      </w:r>
      <w:r>
        <w:rPr>
          <w:rFonts w:ascii="Times New Roman" w:hAnsi="Times New Roman" w:cs="Times New Roman"/>
          <w:sz w:val="22"/>
          <w:szCs w:val="22"/>
        </w:rPr>
        <w:t>. Here are some steps to effectively utilize such donations</w:t>
      </w:r>
      <w:r>
        <w:rPr>
          <w:rFonts w:ascii="Times New Roman" w:hAnsi="Times New Roman" w:cs="Times New Roman" w:hint="eastAsia"/>
          <w:sz w:val="22"/>
          <w:szCs w:val="22"/>
        </w:rPr>
        <w:t xml:space="preserve"> in above-mentioned agencies</w:t>
      </w:r>
      <w:r>
        <w:rPr>
          <w:rFonts w:ascii="Times New Roman" w:hAnsi="Times New Roman" w:cs="Times New Roman"/>
          <w:sz w:val="22"/>
          <w:szCs w:val="22"/>
        </w:rPr>
        <w:t>:</w:t>
      </w:r>
    </w:p>
    <w:p w14:paraId="766B8F6E" w14:textId="77777777" w:rsidR="002B4219" w:rsidRDefault="0069269F">
      <w:pPr>
        <w:pStyle w:val="NormalWeb"/>
        <w:numPr>
          <w:ilvl w:val="0"/>
          <w:numId w:val="8"/>
        </w:numPr>
        <w:tabs>
          <w:tab w:val="clear" w:pos="420"/>
        </w:tabs>
        <w:spacing w:beforeLines="50" w:before="120" w:beforeAutospacing="0" w:afterLines="50" w:after="120" w:afterAutospacing="0" w:line="288" w:lineRule="auto"/>
        <w:ind w:left="799"/>
        <w:rPr>
          <w:rStyle w:val="Strong"/>
          <w:rFonts w:eastAsia="Segoe UI"/>
          <w:color w:val="111111"/>
          <w:sz w:val="22"/>
          <w:szCs w:val="22"/>
          <w:shd w:val="clear" w:color="auto" w:fill="F9F9F9"/>
        </w:rPr>
      </w:pPr>
      <w:r>
        <w:rPr>
          <w:rStyle w:val="Strong"/>
          <w:rFonts w:eastAsia="Segoe UI"/>
          <w:color w:val="111111"/>
          <w:sz w:val="22"/>
          <w:szCs w:val="22"/>
          <w:shd w:val="clear" w:color="auto" w:fill="F9F9F9"/>
        </w:rPr>
        <w:t>Understand the Source of the Donation:</w:t>
      </w:r>
    </w:p>
    <w:p w14:paraId="176A54B7"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Identify the non-Member entities that is providing the donation. This could be an individual, a company, or another organization.</w:t>
      </w:r>
    </w:p>
    <w:p w14:paraId="6540BDBB"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Clarify the purpose and any specific conditions associated with the donation. Ensure that it aligns with the mission and goals.</w:t>
      </w:r>
    </w:p>
    <w:p w14:paraId="7FBB932F" w14:textId="77777777" w:rsidR="002B4219" w:rsidRDefault="0069269F">
      <w:pPr>
        <w:pStyle w:val="NormalWeb"/>
        <w:numPr>
          <w:ilvl w:val="0"/>
          <w:numId w:val="8"/>
        </w:numPr>
        <w:tabs>
          <w:tab w:val="clear" w:pos="420"/>
        </w:tabs>
        <w:spacing w:beforeLines="50" w:before="120" w:beforeAutospacing="0" w:afterLines="50" w:after="120" w:afterAutospacing="0" w:line="288" w:lineRule="auto"/>
        <w:ind w:left="799"/>
        <w:rPr>
          <w:rStyle w:val="Strong"/>
          <w:rFonts w:eastAsia="Segoe UI"/>
          <w:color w:val="111111"/>
          <w:sz w:val="22"/>
          <w:szCs w:val="22"/>
          <w:shd w:val="clear" w:color="auto" w:fill="F9F9F9"/>
        </w:rPr>
      </w:pPr>
      <w:r>
        <w:rPr>
          <w:rStyle w:val="Strong"/>
          <w:rFonts w:eastAsia="Segoe UI"/>
          <w:color w:val="111111"/>
          <w:sz w:val="22"/>
          <w:szCs w:val="22"/>
          <w:shd w:val="clear" w:color="auto" w:fill="F9F9F9"/>
        </w:rPr>
        <w:t>Record the Donation:</w:t>
      </w:r>
    </w:p>
    <w:p w14:paraId="5A0A73A0"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Create a record of the donation in your financial system. Include details such as the amount, date, donor’s information, and any restrictions (if applicable).</w:t>
      </w:r>
    </w:p>
    <w:p w14:paraId="5E029D36"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If the non-Member entity is an organization, create an account for them in system.</w:t>
      </w:r>
    </w:p>
    <w:p w14:paraId="25560386" w14:textId="77777777" w:rsidR="002B4219" w:rsidRDefault="0069269F">
      <w:pPr>
        <w:pStyle w:val="NormalWeb"/>
        <w:numPr>
          <w:ilvl w:val="0"/>
          <w:numId w:val="8"/>
        </w:numPr>
        <w:tabs>
          <w:tab w:val="clear" w:pos="420"/>
        </w:tabs>
        <w:spacing w:beforeLines="50" w:before="120" w:beforeAutospacing="0" w:afterLines="50" w:after="120" w:afterAutospacing="0" w:line="288" w:lineRule="auto"/>
        <w:ind w:left="799"/>
        <w:rPr>
          <w:rStyle w:val="Strong"/>
          <w:rFonts w:eastAsia="Segoe UI"/>
          <w:color w:val="111111"/>
          <w:sz w:val="22"/>
          <w:szCs w:val="22"/>
          <w:shd w:val="clear" w:color="auto" w:fill="F9F9F9"/>
        </w:rPr>
      </w:pPr>
      <w:r>
        <w:rPr>
          <w:rStyle w:val="Strong"/>
          <w:rFonts w:eastAsia="Segoe UI"/>
          <w:color w:val="111111"/>
          <w:sz w:val="22"/>
          <w:szCs w:val="22"/>
          <w:shd w:val="clear" w:color="auto" w:fill="F9F9F9"/>
        </w:rPr>
        <w:t>Acknowledge the Donation:</w:t>
      </w:r>
    </w:p>
    <w:p w14:paraId="6FD1FC86"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Express gratitude to the non-Member entities for their contribution. Send a formal acknowledgment letter or email.</w:t>
      </w:r>
    </w:p>
    <w:p w14:paraId="65D1A081"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Clearly state how the donation will be used and the impact it will have on the work.</w:t>
      </w:r>
    </w:p>
    <w:p w14:paraId="36077092" w14:textId="77777777" w:rsidR="002B4219" w:rsidRDefault="0069269F">
      <w:pPr>
        <w:pStyle w:val="NormalWeb"/>
        <w:numPr>
          <w:ilvl w:val="0"/>
          <w:numId w:val="8"/>
        </w:numPr>
        <w:tabs>
          <w:tab w:val="clear" w:pos="420"/>
        </w:tabs>
        <w:spacing w:beforeLines="50" w:before="120" w:beforeAutospacing="0" w:afterLines="50" w:after="120" w:afterAutospacing="0" w:line="288" w:lineRule="auto"/>
        <w:ind w:left="799"/>
        <w:rPr>
          <w:rStyle w:val="Strong"/>
          <w:rFonts w:eastAsia="Segoe UI"/>
          <w:color w:val="111111"/>
          <w:sz w:val="22"/>
          <w:szCs w:val="22"/>
          <w:shd w:val="clear" w:color="auto" w:fill="F9F9F9"/>
        </w:rPr>
      </w:pPr>
      <w:r>
        <w:rPr>
          <w:rStyle w:val="Strong"/>
          <w:rFonts w:eastAsia="Segoe UI"/>
          <w:color w:val="111111"/>
          <w:sz w:val="22"/>
          <w:szCs w:val="22"/>
          <w:shd w:val="clear" w:color="auto" w:fill="F9F9F9"/>
        </w:rPr>
        <w:t>Allocate the Funds:</w:t>
      </w:r>
    </w:p>
    <w:p w14:paraId="5676669B"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Determine the purpose for which the donation will be used. It could support specific projects, research, capacity-building, or general operations.</w:t>
      </w:r>
    </w:p>
    <w:p w14:paraId="174B32C9"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Allocate the funds accordingly, ensuring transparency and accountability.</w:t>
      </w:r>
    </w:p>
    <w:p w14:paraId="3AE800C4"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If fund remain beyond their intended purpose, TCS may propose to use the remaining funds for supporting the specific activities of the Committee in a consultation with AWG Chair, and submit to TC Session for approval.</w:t>
      </w:r>
    </w:p>
    <w:p w14:paraId="71723E6F" w14:textId="77777777" w:rsidR="002B4219" w:rsidRDefault="0069269F">
      <w:pPr>
        <w:pStyle w:val="NormalWeb"/>
        <w:numPr>
          <w:ilvl w:val="0"/>
          <w:numId w:val="8"/>
        </w:numPr>
        <w:tabs>
          <w:tab w:val="clear" w:pos="420"/>
        </w:tabs>
        <w:spacing w:beforeLines="50" w:before="120" w:beforeAutospacing="0" w:afterLines="50" w:after="120" w:afterAutospacing="0" w:line="288" w:lineRule="auto"/>
        <w:ind w:left="799"/>
        <w:rPr>
          <w:rStyle w:val="Strong"/>
          <w:rFonts w:eastAsia="Segoe UI"/>
          <w:color w:val="111111"/>
          <w:sz w:val="22"/>
          <w:szCs w:val="22"/>
          <w:shd w:val="clear" w:color="auto" w:fill="F9F9F9"/>
        </w:rPr>
      </w:pPr>
      <w:r>
        <w:rPr>
          <w:rStyle w:val="Strong"/>
          <w:rFonts w:eastAsia="Segoe UI"/>
          <w:color w:val="111111"/>
          <w:sz w:val="22"/>
          <w:szCs w:val="22"/>
          <w:shd w:val="clear" w:color="auto" w:fill="F9F9F9"/>
        </w:rPr>
        <w:t>Comply with Legal and Tax Requirements:</w:t>
      </w:r>
    </w:p>
    <w:p w14:paraId="46D2235B"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Consult legal and financial experts to ensure compliance with any legal or tax obligations related to non-Member entity donations.</w:t>
      </w:r>
    </w:p>
    <w:p w14:paraId="06A33DCB"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If the donation is tax-deductible, provide the necessary documentation to the non-Member entities.</w:t>
      </w:r>
    </w:p>
    <w:p w14:paraId="3F863F28" w14:textId="77777777" w:rsidR="002B4219" w:rsidRDefault="0069269F">
      <w:pPr>
        <w:pStyle w:val="NormalWeb"/>
        <w:numPr>
          <w:ilvl w:val="0"/>
          <w:numId w:val="8"/>
        </w:numPr>
        <w:tabs>
          <w:tab w:val="clear" w:pos="420"/>
        </w:tabs>
        <w:spacing w:beforeLines="50" w:before="120" w:beforeAutospacing="0" w:afterLines="50" w:after="120" w:afterAutospacing="0" w:line="288" w:lineRule="auto"/>
        <w:ind w:left="799"/>
        <w:rPr>
          <w:rStyle w:val="Strong"/>
          <w:rFonts w:eastAsia="Segoe UI"/>
          <w:color w:val="111111"/>
          <w:sz w:val="22"/>
          <w:szCs w:val="22"/>
          <w:shd w:val="clear" w:color="auto" w:fill="F9F9F9"/>
        </w:rPr>
      </w:pPr>
      <w:r>
        <w:rPr>
          <w:rStyle w:val="Strong"/>
          <w:rFonts w:eastAsia="Segoe UI"/>
          <w:color w:val="111111"/>
          <w:sz w:val="22"/>
          <w:szCs w:val="22"/>
          <w:shd w:val="clear" w:color="auto" w:fill="F9F9F9"/>
        </w:rPr>
        <w:t>Report and Communicate:</w:t>
      </w:r>
    </w:p>
    <w:p w14:paraId="1C31B408"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Regularly update the non-Member entities on how their donation is making a difference. Share success stories, project updates, and impact reports.</w:t>
      </w:r>
    </w:p>
    <w:p w14:paraId="39D449DC"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Maintain open communication to build a lasting relationship with the donor.</w:t>
      </w:r>
    </w:p>
    <w:p w14:paraId="2022442E" w14:textId="77777777" w:rsidR="002B4219" w:rsidRDefault="0069269F">
      <w:pPr>
        <w:numPr>
          <w:ilvl w:val="0"/>
          <w:numId w:val="6"/>
        </w:numPr>
        <w:spacing w:beforeLines="50" w:before="120" w:afterLines="50" w:after="120" w:line="288" w:lineRule="auto"/>
        <w:jc w:val="both"/>
        <w:rPr>
          <w:rFonts w:ascii="Times New Roman" w:hAnsi="Times New Roman" w:cs="Times New Roman"/>
          <w:sz w:val="22"/>
          <w:szCs w:val="22"/>
        </w:rPr>
      </w:pPr>
      <w:r>
        <w:rPr>
          <w:rFonts w:ascii="Times New Roman" w:hAnsi="Times New Roman" w:cs="Times New Roman"/>
          <w:sz w:val="22"/>
          <w:szCs w:val="22"/>
        </w:rPr>
        <w:t xml:space="preserve">The </w:t>
      </w:r>
      <w:r>
        <w:rPr>
          <w:rFonts w:ascii="Times New Roman" w:eastAsia="SimSun" w:hAnsi="Times New Roman" w:cs="Times New Roman"/>
          <w:color w:val="000000" w:themeColor="text1"/>
          <w:sz w:val="22"/>
          <w:szCs w:val="22"/>
        </w:rPr>
        <w:t>non-Member entities</w:t>
      </w:r>
      <w:r>
        <w:rPr>
          <w:rFonts w:ascii="Times New Roman" w:hAnsi="Times New Roman" w:cs="Times New Roman"/>
          <w:sz w:val="22"/>
          <w:szCs w:val="22"/>
        </w:rPr>
        <w:t xml:space="preserve"> donations can be a powerful force for positive change. By effectively managing and utilizing these contributions, Typhoon Committee can continue its vital work in Typhoon-related risk early warning for all.</w:t>
      </w:r>
      <w:r>
        <w:rPr>
          <w:rFonts w:ascii="Times New Roman" w:hAnsi="Times New Roman" w:cs="Times New Roman" w:hint="eastAsia"/>
          <w:sz w:val="22"/>
          <w:szCs w:val="22"/>
        </w:rPr>
        <w:t xml:space="preserve"> Taking into account that measures</w:t>
      </w:r>
      <w:r>
        <w:rPr>
          <w:rFonts w:ascii="Times New Roman" w:hAnsi="Times New Roman" w:cs="Times New Roman"/>
          <w:sz w:val="22"/>
          <w:szCs w:val="22"/>
        </w:rPr>
        <w:t xml:space="preserve"> to effectively utilize </w:t>
      </w:r>
      <w:r>
        <w:rPr>
          <w:rFonts w:ascii="Times New Roman" w:hAnsi="Times New Roman" w:cs="Times New Roman"/>
          <w:sz w:val="22"/>
          <w:szCs w:val="22"/>
        </w:rPr>
        <w:lastRenderedPageBreak/>
        <w:t xml:space="preserve">such donations </w:t>
      </w:r>
      <w:r>
        <w:rPr>
          <w:rFonts w:ascii="Times New Roman" w:hAnsi="Times New Roman" w:cs="Times New Roman" w:hint="eastAsia"/>
          <w:sz w:val="22"/>
          <w:szCs w:val="22"/>
        </w:rPr>
        <w:t>mentioned-above, the Committee needs to</w:t>
      </w:r>
      <w:r>
        <w:rPr>
          <w:rFonts w:ascii="Times New Roman" w:hAnsi="Times New Roman" w:cs="Times New Roman"/>
          <w:color w:val="000000" w:themeColor="text1"/>
          <w:sz w:val="22"/>
          <w:szCs w:val="22"/>
        </w:rPr>
        <w:t xml:space="preserve"> establish a proper mechanism and governance rules/guidelines </w:t>
      </w:r>
      <w:r>
        <w:rPr>
          <w:rFonts w:ascii="Times New Roman" w:hAnsi="Times New Roman" w:cs="Times New Roman" w:hint="eastAsia"/>
          <w:color w:val="000000" w:themeColor="text1"/>
          <w:sz w:val="22"/>
          <w:szCs w:val="22"/>
        </w:rPr>
        <w:t xml:space="preserve">or </w:t>
      </w:r>
      <w:r>
        <w:rPr>
          <w:rFonts w:ascii="Times New Roman" w:eastAsia="SimSun" w:hAnsi="Times New Roman" w:cs="Times New Roman"/>
          <w:color w:val="000000" w:themeColor="text1"/>
          <w:kern w:val="2"/>
          <w:sz w:val="22"/>
          <w:szCs w:val="22"/>
        </w:rPr>
        <w:t>due diligence criteria and procedure</w:t>
      </w:r>
      <w:r>
        <w:rPr>
          <w:rFonts w:ascii="Times New Roman" w:eastAsia="SimSun" w:hAnsi="Times New Roman" w:cs="Times New Roman" w:hint="eastAsia"/>
          <w:color w:val="000000" w:themeColor="text1"/>
          <w:kern w:val="2"/>
          <w:sz w:val="22"/>
          <w:szCs w:val="22"/>
        </w:rPr>
        <w:t xml:space="preserve"> </w:t>
      </w:r>
      <w:r>
        <w:rPr>
          <w:rFonts w:ascii="Times New Roman" w:hAnsi="Times New Roman" w:cs="Times New Roman"/>
          <w:color w:val="000000" w:themeColor="text1"/>
          <w:sz w:val="22"/>
          <w:szCs w:val="22"/>
        </w:rPr>
        <w:t xml:space="preserve">for accepting donations/support from </w:t>
      </w:r>
      <w:r>
        <w:rPr>
          <w:rFonts w:ascii="Times New Roman" w:hAnsi="Times New Roman" w:cs="Times New Roman" w:hint="eastAsia"/>
          <w:color w:val="000000" w:themeColor="text1"/>
          <w:sz w:val="22"/>
          <w:szCs w:val="22"/>
        </w:rPr>
        <w:t xml:space="preserve">both </w:t>
      </w:r>
      <w:r>
        <w:rPr>
          <w:rFonts w:ascii="Times New Roman" w:hAnsi="Times New Roman" w:cs="Times New Roman"/>
          <w:color w:val="000000" w:themeColor="text1"/>
          <w:sz w:val="22"/>
          <w:szCs w:val="22"/>
        </w:rPr>
        <w:t>Member entities and non-Member entities</w:t>
      </w:r>
      <w:r>
        <w:rPr>
          <w:rFonts w:ascii="Times New Roman" w:hAnsi="Times New Roman" w:cs="Times New Roman" w:hint="eastAsia"/>
          <w:color w:val="000000" w:themeColor="text1"/>
          <w:sz w:val="22"/>
          <w:szCs w:val="22"/>
        </w:rPr>
        <w:t>.</w:t>
      </w:r>
    </w:p>
    <w:p w14:paraId="5D9E6895" w14:textId="77777777" w:rsidR="002B4219" w:rsidRDefault="0069269F">
      <w:pPr>
        <w:numPr>
          <w:ilvl w:val="0"/>
          <w:numId w:val="5"/>
        </w:numPr>
        <w:spacing w:beforeLines="100" w:before="240" w:afterLines="100" w:after="240" w:line="288"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Researching the Potential Contributors to RM of TC</w:t>
      </w:r>
    </w:p>
    <w:p w14:paraId="211F0E19" w14:textId="77777777" w:rsidR="002B4219" w:rsidRDefault="0069269F">
      <w:pPr>
        <w:numPr>
          <w:ilvl w:val="0"/>
          <w:numId w:val="6"/>
        </w:numPr>
        <w:spacing w:beforeLines="50" w:before="120" w:afterLines="50" w:after="120" w:line="288" w:lineRule="auto"/>
        <w:jc w:val="both"/>
        <w:rPr>
          <w:rFonts w:ascii="Times New Roman" w:hAnsi="Times New Roman" w:cs="Times New Roman"/>
          <w:sz w:val="22"/>
          <w:szCs w:val="22"/>
        </w:rPr>
      </w:pPr>
      <w:r>
        <w:rPr>
          <w:rFonts w:ascii="Times New Roman" w:hAnsi="Times New Roman" w:cs="Times New Roman"/>
          <w:sz w:val="22"/>
          <w:szCs w:val="22"/>
        </w:rPr>
        <w:t>Referring the policies and mechanisms on the resource mobilization in UN system, here are listed the potential contributors including government grants, voluntary contributions, public funding, corporate sponsorship,</w:t>
      </w:r>
      <w:r>
        <w:rPr>
          <w:rFonts w:ascii="Times New Roman" w:eastAsia="DengXian" w:hAnsi="Times New Roman" w:cs="Times New Roman"/>
          <w:b/>
          <w:bCs/>
          <w:color w:val="000000"/>
          <w:sz w:val="22"/>
          <w:szCs w:val="22"/>
        </w:rPr>
        <w:t xml:space="preserve"> </w:t>
      </w:r>
      <w:r>
        <w:rPr>
          <w:rFonts w:ascii="Times New Roman" w:hAnsi="Times New Roman" w:cs="Times New Roman"/>
          <w:sz w:val="22"/>
          <w:szCs w:val="22"/>
        </w:rPr>
        <w:t>and private partnerships to support its development activities and achieve the goals of the Strategic Plan of Typhoon Committee:</w:t>
      </w:r>
    </w:p>
    <w:p w14:paraId="3F6C931F" w14:textId="77777777" w:rsidR="002B4219" w:rsidRDefault="0069269F">
      <w:pPr>
        <w:pStyle w:val="NormalWeb"/>
        <w:numPr>
          <w:ilvl w:val="0"/>
          <w:numId w:val="8"/>
        </w:numPr>
        <w:tabs>
          <w:tab w:val="clear" w:pos="420"/>
        </w:tabs>
        <w:spacing w:beforeLines="50" w:before="120" w:beforeAutospacing="0" w:afterLines="50" w:after="120" w:afterAutospacing="0" w:line="288" w:lineRule="auto"/>
        <w:ind w:left="799"/>
        <w:rPr>
          <w:rStyle w:val="Strong"/>
          <w:rFonts w:eastAsia="Segoe UI"/>
          <w:color w:val="111111"/>
          <w:sz w:val="22"/>
          <w:szCs w:val="22"/>
          <w:shd w:val="clear" w:color="auto" w:fill="F9F9F9"/>
        </w:rPr>
      </w:pPr>
      <w:r>
        <w:rPr>
          <w:rStyle w:val="Strong"/>
          <w:rFonts w:eastAsia="Segoe UI"/>
          <w:color w:val="111111"/>
          <w:sz w:val="22"/>
          <w:szCs w:val="22"/>
          <w:shd w:val="clear" w:color="auto" w:fill="F9F9F9"/>
        </w:rPr>
        <w:t xml:space="preserve">Member Governments: </w:t>
      </w:r>
    </w:p>
    <w:p w14:paraId="4354F563"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 xml:space="preserve">National Meteorological and Hydrological Services (NMHSs); </w:t>
      </w:r>
    </w:p>
    <w:p w14:paraId="2D56AABC"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lang w:eastAsia="en-US"/>
        </w:rPr>
      </w:pPr>
      <w:r>
        <w:rPr>
          <w:rFonts w:ascii="Times New Roman" w:hAnsi="Times New Roman" w:cs="Times New Roman"/>
          <w:color w:val="000000"/>
          <w:sz w:val="22"/>
          <w:szCs w:val="22"/>
          <w:lang w:eastAsia="en-US"/>
        </w:rPr>
        <w:t>National Disaster Management Offices (NDMOs)</w:t>
      </w:r>
    </w:p>
    <w:p w14:paraId="70E0CAFB"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lang w:eastAsia="en-US"/>
        </w:rPr>
        <w:t>Government sectoral agencies</w:t>
      </w:r>
      <w:r>
        <w:rPr>
          <w:rFonts w:ascii="Times New Roman" w:hAnsi="Times New Roman" w:cs="Times New Roman"/>
          <w:color w:val="000000"/>
          <w:sz w:val="22"/>
          <w:szCs w:val="22"/>
        </w:rPr>
        <w:t xml:space="preserve"> in Members</w:t>
      </w:r>
    </w:p>
    <w:p w14:paraId="7AD7F378"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International cooperation agencies in Members</w:t>
      </w:r>
    </w:p>
    <w:p w14:paraId="49A43F33" w14:textId="77777777" w:rsidR="002B4219" w:rsidRDefault="0069269F">
      <w:pPr>
        <w:pStyle w:val="NormalWeb"/>
        <w:numPr>
          <w:ilvl w:val="0"/>
          <w:numId w:val="8"/>
        </w:numPr>
        <w:tabs>
          <w:tab w:val="clear" w:pos="420"/>
        </w:tabs>
        <w:spacing w:beforeLines="50" w:before="120" w:beforeAutospacing="0" w:afterLines="50" w:after="120" w:afterAutospacing="0" w:line="288" w:lineRule="auto"/>
        <w:ind w:left="799"/>
        <w:rPr>
          <w:rStyle w:val="Strong"/>
          <w:rFonts w:eastAsia="Segoe UI"/>
          <w:color w:val="111111"/>
          <w:sz w:val="22"/>
          <w:szCs w:val="22"/>
          <w:shd w:val="clear" w:color="auto" w:fill="F9F9F9"/>
        </w:rPr>
      </w:pPr>
      <w:r>
        <w:rPr>
          <w:rStyle w:val="Strong"/>
          <w:rFonts w:eastAsia="Segoe UI"/>
          <w:color w:val="111111"/>
          <w:sz w:val="22"/>
          <w:szCs w:val="22"/>
          <w:shd w:val="clear" w:color="auto" w:fill="F9F9F9"/>
        </w:rPr>
        <w:t>Academic Institutions</w:t>
      </w:r>
    </w:p>
    <w:p w14:paraId="3D196410"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University</w:t>
      </w:r>
    </w:p>
    <w:p w14:paraId="1220A02B"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Research institutes</w:t>
      </w:r>
    </w:p>
    <w:p w14:paraId="08AD49BF" w14:textId="77777777" w:rsidR="002B4219" w:rsidRDefault="0069269F">
      <w:pPr>
        <w:pStyle w:val="NormalWeb"/>
        <w:numPr>
          <w:ilvl w:val="0"/>
          <w:numId w:val="8"/>
        </w:numPr>
        <w:tabs>
          <w:tab w:val="clear" w:pos="420"/>
        </w:tabs>
        <w:spacing w:beforeLines="50" w:before="120" w:beforeAutospacing="0" w:afterLines="50" w:after="120" w:afterAutospacing="0" w:line="288" w:lineRule="auto"/>
        <w:ind w:left="799"/>
        <w:rPr>
          <w:rStyle w:val="Strong"/>
          <w:rFonts w:eastAsia="Segoe UI"/>
          <w:color w:val="111111"/>
          <w:sz w:val="22"/>
          <w:szCs w:val="22"/>
          <w:shd w:val="clear" w:color="auto" w:fill="F9F9F9"/>
        </w:rPr>
      </w:pPr>
      <w:r>
        <w:rPr>
          <w:rStyle w:val="Strong"/>
          <w:rFonts w:eastAsia="Segoe UI"/>
          <w:color w:val="111111"/>
          <w:sz w:val="22"/>
          <w:szCs w:val="22"/>
          <w:shd w:val="clear" w:color="auto" w:fill="F9F9F9"/>
        </w:rPr>
        <w:t xml:space="preserve">Financial Institutions </w:t>
      </w:r>
    </w:p>
    <w:p w14:paraId="7AF2D9BB"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Banks</w:t>
      </w:r>
    </w:p>
    <w:p w14:paraId="5197E7B9"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 xml:space="preserve">State-owned enterprises </w:t>
      </w:r>
    </w:p>
    <w:p w14:paraId="4BA189BC"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Investment groups</w:t>
      </w:r>
    </w:p>
    <w:p w14:paraId="0F2DCFDC"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Funds</w:t>
      </w:r>
    </w:p>
    <w:p w14:paraId="6B8BE73D"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NGOs</w:t>
      </w:r>
    </w:p>
    <w:p w14:paraId="7132F177"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Philanthropic donations</w:t>
      </w:r>
    </w:p>
    <w:p w14:paraId="4A66480F" w14:textId="77777777" w:rsidR="002B4219" w:rsidRDefault="0069269F">
      <w:pPr>
        <w:pStyle w:val="NormalWeb"/>
        <w:numPr>
          <w:ilvl w:val="0"/>
          <w:numId w:val="8"/>
        </w:numPr>
        <w:tabs>
          <w:tab w:val="clear" w:pos="420"/>
        </w:tabs>
        <w:spacing w:beforeLines="50" w:before="120" w:beforeAutospacing="0" w:afterLines="50" w:after="120" w:afterAutospacing="0" w:line="288" w:lineRule="auto"/>
        <w:ind w:left="799"/>
        <w:rPr>
          <w:rStyle w:val="Strong"/>
          <w:rFonts w:eastAsia="Segoe UI"/>
          <w:color w:val="111111"/>
          <w:sz w:val="22"/>
          <w:szCs w:val="22"/>
          <w:shd w:val="clear" w:color="auto" w:fill="F9F9F9"/>
        </w:rPr>
      </w:pPr>
      <w:r>
        <w:rPr>
          <w:rStyle w:val="Strong"/>
          <w:rFonts w:eastAsia="Segoe UI"/>
          <w:color w:val="111111"/>
          <w:sz w:val="22"/>
          <w:szCs w:val="22"/>
          <w:shd w:val="clear" w:color="auto" w:fill="F9F9F9"/>
        </w:rPr>
        <w:t xml:space="preserve">Private Sector </w:t>
      </w:r>
    </w:p>
    <w:p w14:paraId="50E73B98"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Private enterprise/corporate</w:t>
      </w:r>
    </w:p>
    <w:p w14:paraId="51E60F62" w14:textId="77777777" w:rsidR="002B4219" w:rsidRDefault="0069269F">
      <w:pPr>
        <w:numPr>
          <w:ilvl w:val="0"/>
          <w:numId w:val="9"/>
        </w:numPr>
        <w:shd w:val="clear" w:color="auto" w:fill="FFFFFF"/>
        <w:tabs>
          <w:tab w:val="clear" w:pos="420"/>
        </w:tabs>
        <w:spacing w:line="276" w:lineRule="auto"/>
        <w:ind w:left="998"/>
        <w:rPr>
          <w:rFonts w:ascii="Times New Roman" w:hAnsi="Times New Roman" w:cs="Times New Roman"/>
          <w:color w:val="000000"/>
          <w:sz w:val="22"/>
          <w:szCs w:val="22"/>
        </w:rPr>
      </w:pPr>
      <w:r>
        <w:rPr>
          <w:rFonts w:ascii="Times New Roman" w:hAnsi="Times New Roman" w:cs="Times New Roman"/>
          <w:color w:val="000000"/>
          <w:sz w:val="22"/>
          <w:szCs w:val="22"/>
        </w:rPr>
        <w:t xml:space="preserve">Individuals </w:t>
      </w:r>
    </w:p>
    <w:p w14:paraId="01E9024A" w14:textId="77777777" w:rsidR="002B4219" w:rsidRDefault="002B4219">
      <w:pPr>
        <w:shd w:val="clear" w:color="auto" w:fill="FFFFFF"/>
        <w:spacing w:beforeLines="50" w:before="120" w:afterLines="50" w:after="120" w:line="288" w:lineRule="auto"/>
        <w:ind w:left="530" w:hangingChars="241" w:hanging="530"/>
        <w:jc w:val="center"/>
        <w:rPr>
          <w:rFonts w:ascii="Times New Roman" w:hAnsi="Times New Roman" w:cs="Times New Roman"/>
          <w:color w:val="000000"/>
          <w:sz w:val="22"/>
          <w:szCs w:val="22"/>
        </w:rPr>
      </w:pPr>
    </w:p>
    <w:p w14:paraId="630982A2" w14:textId="77777777" w:rsidR="002B4219" w:rsidRDefault="002B4219">
      <w:pPr>
        <w:shd w:val="clear" w:color="auto" w:fill="FFFFFF"/>
        <w:spacing w:beforeLines="50" w:before="120" w:afterLines="50" w:after="120" w:line="288" w:lineRule="auto"/>
        <w:ind w:left="530" w:hangingChars="241" w:hanging="530"/>
        <w:jc w:val="center"/>
        <w:rPr>
          <w:rFonts w:ascii="Times New Roman" w:hAnsi="Times New Roman" w:cs="Times New Roman"/>
          <w:color w:val="000000"/>
          <w:sz w:val="22"/>
          <w:szCs w:val="22"/>
        </w:rPr>
      </w:pPr>
    </w:p>
    <w:p w14:paraId="7EE57211" w14:textId="77777777" w:rsidR="002B4219" w:rsidRDefault="0069269F">
      <w:pPr>
        <w:shd w:val="clear" w:color="auto" w:fill="FFFFFF"/>
        <w:spacing w:beforeLines="50" w:before="120" w:afterLines="50" w:after="120" w:line="288" w:lineRule="auto"/>
        <w:ind w:left="913" w:hangingChars="415" w:hanging="913"/>
        <w:rPr>
          <w:rFonts w:ascii="Times New Roman" w:hAnsi="Times New Roman" w:cs="Times New Roman"/>
          <w:color w:val="000000"/>
          <w:sz w:val="22"/>
          <w:szCs w:val="22"/>
        </w:rPr>
      </w:pPr>
      <w:r>
        <w:rPr>
          <w:rFonts w:ascii="Times New Roman" w:hAnsi="Times New Roman" w:cs="Times New Roman"/>
          <w:color w:val="000000"/>
          <w:sz w:val="22"/>
          <w:szCs w:val="22"/>
        </w:rPr>
        <w:t xml:space="preserve">Annex </w:t>
      </w:r>
      <w:proofErr w:type="gramStart"/>
      <w:r>
        <w:rPr>
          <w:rFonts w:ascii="Times New Roman" w:hAnsi="Times New Roman" w:cs="Times New Roman"/>
          <w:color w:val="000000"/>
          <w:sz w:val="22"/>
          <w:szCs w:val="22"/>
        </w:rPr>
        <w:t>1  Terms</w:t>
      </w:r>
      <w:proofErr w:type="gramEnd"/>
      <w:r>
        <w:rPr>
          <w:rFonts w:ascii="Times New Roman" w:hAnsi="Times New Roman" w:cs="Times New Roman"/>
          <w:color w:val="000000"/>
          <w:sz w:val="22"/>
          <w:szCs w:val="22"/>
        </w:rPr>
        <w:t xml:space="preserve"> of Reference (TOR) of Typhoon Committee Resource Mobilization Group (RMG)</w:t>
      </w:r>
    </w:p>
    <w:p w14:paraId="4355F8A0" w14:textId="77777777" w:rsidR="002B4219" w:rsidRDefault="0069269F">
      <w:pPr>
        <w:shd w:val="clear" w:color="auto" w:fill="FFFFFF"/>
        <w:spacing w:beforeLines="50" w:before="120" w:afterLines="50" w:after="120" w:line="288" w:lineRule="auto"/>
        <w:ind w:left="913" w:hangingChars="415" w:hanging="913"/>
        <w:rPr>
          <w:rFonts w:ascii="Times New Roman" w:hAnsi="Times New Roman" w:cs="Times New Roman"/>
          <w:color w:val="000000"/>
          <w:sz w:val="22"/>
          <w:szCs w:val="22"/>
        </w:rPr>
      </w:pPr>
      <w:r>
        <w:rPr>
          <w:rFonts w:ascii="Times New Roman" w:hAnsi="Times New Roman" w:cs="Times New Roman"/>
          <w:color w:val="000000"/>
          <w:sz w:val="22"/>
          <w:szCs w:val="22"/>
        </w:rPr>
        <w:t xml:space="preserve">Annex </w:t>
      </w:r>
      <w:proofErr w:type="gramStart"/>
      <w:r>
        <w:rPr>
          <w:rFonts w:ascii="Times New Roman" w:hAnsi="Times New Roman" w:cs="Times New Roman"/>
          <w:color w:val="000000"/>
          <w:sz w:val="22"/>
          <w:szCs w:val="22"/>
        </w:rPr>
        <w:t>2  The</w:t>
      </w:r>
      <w:proofErr w:type="gramEnd"/>
      <w:r>
        <w:rPr>
          <w:rFonts w:ascii="Times New Roman" w:hAnsi="Times New Roman" w:cs="Times New Roman"/>
          <w:color w:val="000000"/>
          <w:sz w:val="22"/>
          <w:szCs w:val="22"/>
        </w:rPr>
        <w:t xml:space="preserve"> relevant provisions on resource mobilization in Typhoon Committee Strategic Plan</w:t>
      </w:r>
    </w:p>
    <w:p w14:paraId="542FF51B" w14:textId="77777777" w:rsidR="002B4219" w:rsidRDefault="002B4219">
      <w:pPr>
        <w:shd w:val="clear" w:color="auto" w:fill="FFFFFF"/>
        <w:spacing w:beforeLines="50" w:before="120" w:afterLines="50" w:after="120" w:line="288" w:lineRule="auto"/>
        <w:ind w:left="913" w:hangingChars="415" w:hanging="913"/>
        <w:rPr>
          <w:rFonts w:ascii="Times New Roman" w:hAnsi="Times New Roman" w:cs="Times New Roman"/>
          <w:color w:val="000000"/>
          <w:sz w:val="22"/>
          <w:szCs w:val="22"/>
        </w:rPr>
      </w:pPr>
    </w:p>
    <w:p w14:paraId="4EDAE4A0" w14:textId="77777777" w:rsidR="002B4219" w:rsidRDefault="0069269F">
      <w:pPr>
        <w:rPr>
          <w:rFonts w:ascii="Times New Roman" w:eastAsia="SimSun" w:hAnsi="Times New Roman" w:cs="Times New Roman"/>
          <w:sz w:val="24"/>
          <w:szCs w:val="24"/>
        </w:rPr>
      </w:pPr>
      <w:r>
        <w:rPr>
          <w:rFonts w:ascii="Times New Roman" w:hAnsi="Times New Roman" w:cs="Times New Roman"/>
          <w:color w:val="000000"/>
          <w:sz w:val="24"/>
          <w:szCs w:val="24"/>
        </w:rPr>
        <w:br w:type="page"/>
      </w:r>
    </w:p>
    <w:p w14:paraId="3E81A378" w14:textId="77777777" w:rsidR="002B4219" w:rsidRDefault="0069269F">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Annex 1</w:t>
      </w:r>
    </w:p>
    <w:p w14:paraId="0E69082A" w14:textId="77777777" w:rsidR="002B4219" w:rsidRDefault="002B4219">
      <w:pPr>
        <w:rPr>
          <w:rFonts w:ascii="Times New Roman" w:hAnsi="Times New Roman" w:cs="Times New Roman"/>
          <w:color w:val="000000"/>
          <w:sz w:val="24"/>
          <w:szCs w:val="24"/>
        </w:rPr>
      </w:pPr>
    </w:p>
    <w:p w14:paraId="6E6AF75D" w14:textId="77777777" w:rsidR="002B4219" w:rsidRDefault="0069269F">
      <w:pPr>
        <w:spacing w:beforeLines="50" w:before="120" w:afterLines="50" w:after="120"/>
        <w:jc w:val="center"/>
        <w:rPr>
          <w:rFonts w:ascii="Times New Roman" w:hAnsi="Times New Roman" w:cs="Times New Roman"/>
          <w:b/>
          <w:sz w:val="24"/>
          <w:szCs w:val="24"/>
        </w:rPr>
      </w:pPr>
      <w:r>
        <w:rPr>
          <w:rFonts w:ascii="Times New Roman" w:hAnsi="Times New Roman" w:cs="Times New Roman"/>
          <w:b/>
          <w:caps/>
          <w:sz w:val="24"/>
          <w:szCs w:val="24"/>
        </w:rPr>
        <w:t>Terms of Reference of Resource Mobilization Group (RMG)</w:t>
      </w:r>
    </w:p>
    <w:p w14:paraId="18A0AF43" w14:textId="77777777" w:rsidR="002B4219" w:rsidRDefault="0069269F">
      <w:pPr>
        <w:spacing w:line="240" w:lineRule="exact"/>
        <w:ind w:rightChars="-2" w:right="-4"/>
        <w:jc w:val="center"/>
        <w:rPr>
          <w:rFonts w:ascii="Times New Roman" w:hAnsi="Times New Roman" w:cs="Times New Roman"/>
          <w:bCs/>
          <w:sz w:val="24"/>
          <w:szCs w:val="24"/>
        </w:rPr>
      </w:pPr>
      <w:r>
        <w:rPr>
          <w:rFonts w:ascii="Times New Roman" w:hAnsi="Times New Roman" w:cs="Times New Roman"/>
          <w:bCs/>
          <w:sz w:val="24"/>
          <w:szCs w:val="24"/>
        </w:rPr>
        <w:t>(approved at the 38</w:t>
      </w:r>
      <w:r>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Annual Session)</w:t>
      </w:r>
    </w:p>
    <w:p w14:paraId="67705635" w14:textId="77777777" w:rsidR="002B4219" w:rsidRDefault="002B4219">
      <w:pPr>
        <w:spacing w:line="240" w:lineRule="exact"/>
        <w:ind w:rightChars="-2" w:right="-4"/>
        <w:jc w:val="center"/>
        <w:rPr>
          <w:rFonts w:ascii="Times New Roman" w:hAnsi="Times New Roman" w:cs="Times New Roman"/>
          <w:bCs/>
          <w:sz w:val="24"/>
          <w:szCs w:val="24"/>
        </w:rPr>
      </w:pPr>
    </w:p>
    <w:p w14:paraId="5BA82A49" w14:textId="77777777" w:rsidR="002B4219" w:rsidRDefault="002B4219">
      <w:pPr>
        <w:spacing w:line="240" w:lineRule="exact"/>
        <w:ind w:rightChars="-2" w:right="-4"/>
        <w:jc w:val="center"/>
        <w:rPr>
          <w:rFonts w:ascii="Times New Roman" w:hAnsi="Times New Roman" w:cs="Times New Roman"/>
          <w:b/>
          <w:sz w:val="24"/>
          <w:szCs w:val="24"/>
        </w:rPr>
      </w:pPr>
    </w:p>
    <w:p w14:paraId="5D6B1619" w14:textId="77777777" w:rsidR="002B4219" w:rsidRDefault="0069269F">
      <w:pPr>
        <w:pStyle w:val="BlockText"/>
        <w:ind w:right="-4"/>
        <w:rPr>
          <w:rFonts w:ascii="Times New Roman" w:hAnsi="Times New Roman" w:cs="Times New Roman"/>
          <w:szCs w:val="22"/>
        </w:rPr>
      </w:pPr>
      <w:r>
        <w:rPr>
          <w:rFonts w:ascii="Times New Roman" w:hAnsi="Times New Roman" w:cs="Times New Roman"/>
          <w:szCs w:val="22"/>
        </w:rPr>
        <w:t>1.</w:t>
      </w:r>
      <w:r>
        <w:rPr>
          <w:rFonts w:ascii="Times New Roman" w:hAnsi="Times New Roman" w:cs="Times New Roman"/>
          <w:szCs w:val="22"/>
        </w:rPr>
        <w:tab/>
        <w:t>Contact and maintain liaison with funding agencies with a view to soliciting financial support for projects.</w:t>
      </w:r>
    </w:p>
    <w:p w14:paraId="703BA647" w14:textId="77777777" w:rsidR="002B4219" w:rsidRDefault="002B4219">
      <w:pPr>
        <w:tabs>
          <w:tab w:val="left" w:pos="540"/>
        </w:tabs>
        <w:spacing w:line="240" w:lineRule="exact"/>
        <w:ind w:left="540" w:rightChars="-2" w:right="-4" w:hanging="540"/>
        <w:jc w:val="both"/>
        <w:rPr>
          <w:rFonts w:ascii="Times New Roman" w:hAnsi="Times New Roman" w:cs="Times New Roman"/>
          <w:bCs/>
          <w:sz w:val="22"/>
          <w:szCs w:val="22"/>
        </w:rPr>
      </w:pPr>
    </w:p>
    <w:p w14:paraId="3B66F2E5" w14:textId="77777777" w:rsidR="002B4219" w:rsidRDefault="0069269F">
      <w:pPr>
        <w:tabs>
          <w:tab w:val="left" w:pos="540"/>
        </w:tabs>
        <w:spacing w:line="240" w:lineRule="exact"/>
        <w:ind w:left="540" w:rightChars="-2" w:right="-4" w:hanging="540"/>
        <w:jc w:val="both"/>
        <w:rPr>
          <w:rFonts w:ascii="Times New Roman" w:hAnsi="Times New Roman" w:cs="Times New Roman"/>
          <w:bCs/>
          <w:sz w:val="22"/>
          <w:szCs w:val="22"/>
        </w:rPr>
      </w:pPr>
      <w:r>
        <w:rPr>
          <w:rFonts w:ascii="Times New Roman" w:hAnsi="Times New Roman" w:cs="Times New Roman"/>
          <w:bCs/>
          <w:sz w:val="22"/>
          <w:szCs w:val="22"/>
        </w:rPr>
        <w:t>2.</w:t>
      </w:r>
      <w:r>
        <w:rPr>
          <w:rFonts w:ascii="Times New Roman" w:hAnsi="Times New Roman" w:cs="Times New Roman"/>
          <w:bCs/>
          <w:sz w:val="22"/>
          <w:szCs w:val="22"/>
        </w:rPr>
        <w:tab/>
        <w:t>Develop, manage and maintain a Resource Mobilization (RM) Database to support and facilitate resource mobilization activities of TC Members containing information on amongst others, financial resources, potential funding agencies, application procedures, results/status of projects, economic impact of projects.</w:t>
      </w:r>
    </w:p>
    <w:p w14:paraId="778113D4" w14:textId="77777777" w:rsidR="002B4219" w:rsidRDefault="002B4219">
      <w:pPr>
        <w:tabs>
          <w:tab w:val="left" w:pos="540"/>
        </w:tabs>
        <w:spacing w:line="240" w:lineRule="exact"/>
        <w:ind w:left="540" w:rightChars="-2" w:right="-4" w:hanging="540"/>
        <w:jc w:val="both"/>
        <w:rPr>
          <w:rFonts w:ascii="Times New Roman" w:hAnsi="Times New Roman" w:cs="Times New Roman"/>
          <w:bCs/>
          <w:sz w:val="22"/>
          <w:szCs w:val="22"/>
        </w:rPr>
      </w:pPr>
    </w:p>
    <w:p w14:paraId="2DE2A7A6" w14:textId="77777777" w:rsidR="002B4219" w:rsidRDefault="0069269F">
      <w:pPr>
        <w:tabs>
          <w:tab w:val="left" w:pos="540"/>
        </w:tabs>
        <w:spacing w:line="240" w:lineRule="exact"/>
        <w:ind w:left="540" w:rightChars="-2" w:right="-4" w:hanging="540"/>
        <w:jc w:val="both"/>
        <w:rPr>
          <w:rFonts w:ascii="Times New Roman" w:hAnsi="Times New Roman" w:cs="Times New Roman"/>
          <w:bCs/>
          <w:sz w:val="22"/>
          <w:szCs w:val="22"/>
        </w:rPr>
      </w:pPr>
      <w:r>
        <w:rPr>
          <w:rFonts w:ascii="Times New Roman" w:hAnsi="Times New Roman" w:cs="Times New Roman"/>
          <w:bCs/>
          <w:sz w:val="22"/>
          <w:szCs w:val="22"/>
        </w:rPr>
        <w:t>3.</w:t>
      </w:r>
      <w:r>
        <w:rPr>
          <w:rFonts w:ascii="Times New Roman" w:hAnsi="Times New Roman" w:cs="Times New Roman"/>
          <w:bCs/>
          <w:sz w:val="22"/>
          <w:szCs w:val="22"/>
        </w:rPr>
        <w:tab/>
        <w:t>Upon Members’ request, offer advice and consultation related to RM issues, in particular on:</w:t>
      </w:r>
    </w:p>
    <w:p w14:paraId="6B465A0D" w14:textId="77777777" w:rsidR="002B4219" w:rsidRDefault="002B4219">
      <w:pPr>
        <w:tabs>
          <w:tab w:val="left" w:pos="540"/>
        </w:tabs>
        <w:spacing w:line="240" w:lineRule="exact"/>
        <w:ind w:left="540" w:rightChars="-2" w:right="-4" w:hanging="540"/>
        <w:jc w:val="both"/>
        <w:rPr>
          <w:rFonts w:ascii="Times New Roman" w:hAnsi="Times New Roman" w:cs="Times New Roman"/>
          <w:bCs/>
          <w:sz w:val="22"/>
          <w:szCs w:val="22"/>
        </w:rPr>
      </w:pPr>
    </w:p>
    <w:p w14:paraId="04F9A142" w14:textId="77777777" w:rsidR="002B4219" w:rsidRDefault="0069269F">
      <w:pPr>
        <w:widowControl w:val="0"/>
        <w:numPr>
          <w:ilvl w:val="0"/>
          <w:numId w:val="10"/>
        </w:numPr>
        <w:tabs>
          <w:tab w:val="left" w:pos="540"/>
        </w:tabs>
        <w:spacing w:line="240" w:lineRule="exact"/>
        <w:ind w:rightChars="-2" w:right="-4"/>
        <w:jc w:val="both"/>
        <w:rPr>
          <w:rFonts w:ascii="Times New Roman" w:hAnsi="Times New Roman" w:cs="Times New Roman"/>
          <w:bCs/>
          <w:sz w:val="22"/>
          <w:szCs w:val="22"/>
        </w:rPr>
      </w:pPr>
      <w:r>
        <w:rPr>
          <w:rFonts w:ascii="Times New Roman" w:hAnsi="Times New Roman" w:cs="Times New Roman"/>
          <w:bCs/>
          <w:sz w:val="22"/>
          <w:szCs w:val="22"/>
        </w:rPr>
        <w:t>connection in between short-term easily-funded projects with long-term projects,</w:t>
      </w:r>
    </w:p>
    <w:p w14:paraId="77AC1041" w14:textId="77777777" w:rsidR="002B4219" w:rsidRDefault="0069269F">
      <w:pPr>
        <w:widowControl w:val="0"/>
        <w:numPr>
          <w:ilvl w:val="0"/>
          <w:numId w:val="10"/>
        </w:numPr>
        <w:tabs>
          <w:tab w:val="left" w:pos="540"/>
        </w:tabs>
        <w:spacing w:line="240" w:lineRule="exact"/>
        <w:ind w:rightChars="-2" w:right="-4"/>
        <w:jc w:val="both"/>
        <w:rPr>
          <w:rFonts w:ascii="Times New Roman" w:hAnsi="Times New Roman" w:cs="Times New Roman"/>
          <w:bCs/>
          <w:sz w:val="22"/>
          <w:szCs w:val="22"/>
        </w:rPr>
      </w:pPr>
      <w:r>
        <w:rPr>
          <w:rFonts w:ascii="Times New Roman" w:hAnsi="Times New Roman" w:cs="Times New Roman"/>
          <w:bCs/>
          <w:sz w:val="22"/>
          <w:szCs w:val="22"/>
        </w:rPr>
        <w:t>ways and means of meeting donors’ requirements,</w:t>
      </w:r>
    </w:p>
    <w:p w14:paraId="1EF87F0F" w14:textId="77777777" w:rsidR="002B4219" w:rsidRDefault="0069269F">
      <w:pPr>
        <w:widowControl w:val="0"/>
        <w:numPr>
          <w:ilvl w:val="0"/>
          <w:numId w:val="10"/>
        </w:numPr>
        <w:tabs>
          <w:tab w:val="left" w:pos="540"/>
        </w:tabs>
        <w:spacing w:line="240" w:lineRule="exact"/>
        <w:ind w:rightChars="-2" w:right="-4"/>
        <w:jc w:val="both"/>
        <w:rPr>
          <w:rFonts w:ascii="Times New Roman" w:hAnsi="Times New Roman" w:cs="Times New Roman"/>
          <w:bCs/>
          <w:sz w:val="22"/>
          <w:szCs w:val="22"/>
        </w:rPr>
      </w:pPr>
      <w:r>
        <w:rPr>
          <w:rFonts w:ascii="Times New Roman" w:hAnsi="Times New Roman" w:cs="Times New Roman"/>
          <w:bCs/>
          <w:sz w:val="22"/>
          <w:szCs w:val="22"/>
        </w:rPr>
        <w:t>contractual/legal processes,</w:t>
      </w:r>
    </w:p>
    <w:p w14:paraId="3E2F163A" w14:textId="77777777" w:rsidR="002B4219" w:rsidRDefault="0069269F">
      <w:pPr>
        <w:widowControl w:val="0"/>
        <w:numPr>
          <w:ilvl w:val="0"/>
          <w:numId w:val="10"/>
        </w:numPr>
        <w:tabs>
          <w:tab w:val="left" w:pos="540"/>
        </w:tabs>
        <w:spacing w:line="240" w:lineRule="exact"/>
        <w:ind w:rightChars="-2" w:right="-4"/>
        <w:jc w:val="both"/>
        <w:rPr>
          <w:rFonts w:ascii="Times New Roman" w:hAnsi="Times New Roman" w:cs="Times New Roman"/>
          <w:bCs/>
          <w:sz w:val="22"/>
          <w:szCs w:val="22"/>
        </w:rPr>
      </w:pPr>
      <w:r>
        <w:rPr>
          <w:rFonts w:ascii="Times New Roman" w:hAnsi="Times New Roman" w:cs="Times New Roman"/>
          <w:bCs/>
          <w:sz w:val="22"/>
          <w:szCs w:val="22"/>
        </w:rPr>
        <w:t>funding management of projects, and</w:t>
      </w:r>
    </w:p>
    <w:p w14:paraId="2F747641" w14:textId="77777777" w:rsidR="002B4219" w:rsidRDefault="0069269F">
      <w:pPr>
        <w:widowControl w:val="0"/>
        <w:numPr>
          <w:ilvl w:val="0"/>
          <w:numId w:val="10"/>
        </w:numPr>
        <w:tabs>
          <w:tab w:val="left" w:pos="540"/>
        </w:tabs>
        <w:spacing w:line="240" w:lineRule="exact"/>
        <w:ind w:rightChars="-2" w:right="-4"/>
        <w:jc w:val="both"/>
        <w:rPr>
          <w:rFonts w:ascii="Times New Roman" w:hAnsi="Times New Roman" w:cs="Times New Roman"/>
          <w:bCs/>
          <w:sz w:val="22"/>
          <w:szCs w:val="22"/>
        </w:rPr>
      </w:pPr>
      <w:r>
        <w:rPr>
          <w:rFonts w:ascii="Times New Roman" w:hAnsi="Times New Roman" w:cs="Times New Roman"/>
          <w:bCs/>
          <w:sz w:val="22"/>
          <w:szCs w:val="22"/>
        </w:rPr>
        <w:t>seeking commitment for Members’ respective Government to proposed projects.</w:t>
      </w:r>
    </w:p>
    <w:p w14:paraId="21E96485" w14:textId="77777777" w:rsidR="002B4219" w:rsidRDefault="002B4219">
      <w:pPr>
        <w:tabs>
          <w:tab w:val="left" w:pos="540"/>
          <w:tab w:val="left" w:pos="1080"/>
        </w:tabs>
        <w:spacing w:line="240" w:lineRule="exact"/>
        <w:ind w:rightChars="-2" w:right="-4"/>
        <w:jc w:val="both"/>
        <w:rPr>
          <w:rFonts w:ascii="Times New Roman" w:hAnsi="Times New Roman" w:cs="Times New Roman"/>
          <w:bCs/>
          <w:sz w:val="22"/>
          <w:szCs w:val="22"/>
        </w:rPr>
      </w:pPr>
    </w:p>
    <w:p w14:paraId="11C2120B" w14:textId="77777777" w:rsidR="002B4219" w:rsidRDefault="0069269F">
      <w:pPr>
        <w:pStyle w:val="BlockText"/>
        <w:tabs>
          <w:tab w:val="left" w:pos="1080"/>
        </w:tabs>
        <w:ind w:right="-4"/>
        <w:rPr>
          <w:rFonts w:ascii="Times New Roman" w:hAnsi="Times New Roman" w:cs="Times New Roman"/>
          <w:szCs w:val="22"/>
        </w:rPr>
      </w:pPr>
      <w:r>
        <w:rPr>
          <w:rFonts w:ascii="Times New Roman" w:hAnsi="Times New Roman" w:cs="Times New Roman"/>
          <w:szCs w:val="22"/>
        </w:rPr>
        <w:t>4.</w:t>
      </w:r>
      <w:r>
        <w:rPr>
          <w:rFonts w:ascii="Times New Roman" w:hAnsi="Times New Roman" w:cs="Times New Roman"/>
          <w:szCs w:val="22"/>
        </w:rPr>
        <w:tab/>
        <w:t>Manage and maintain, in cooperation with TCS, a PR programme in RM with a view to promoting the image of and/or building up confidence of funding agencies in TC through successful implementation of projects.</w:t>
      </w:r>
    </w:p>
    <w:p w14:paraId="5D3AEDA9" w14:textId="77777777" w:rsidR="002B4219" w:rsidRDefault="002B4219">
      <w:pPr>
        <w:tabs>
          <w:tab w:val="left" w:pos="540"/>
          <w:tab w:val="left" w:pos="1080"/>
        </w:tabs>
        <w:spacing w:line="240" w:lineRule="exact"/>
        <w:ind w:left="540" w:rightChars="-2" w:right="-4" w:hanging="540"/>
        <w:jc w:val="both"/>
        <w:rPr>
          <w:rFonts w:ascii="Times New Roman" w:hAnsi="Times New Roman" w:cs="Times New Roman"/>
          <w:bCs/>
          <w:sz w:val="22"/>
          <w:szCs w:val="22"/>
        </w:rPr>
      </w:pPr>
    </w:p>
    <w:p w14:paraId="38BC590B" w14:textId="77777777" w:rsidR="002B4219" w:rsidRDefault="0069269F">
      <w:pPr>
        <w:pStyle w:val="BlockText"/>
        <w:tabs>
          <w:tab w:val="left" w:pos="1080"/>
        </w:tabs>
        <w:ind w:right="-4"/>
        <w:rPr>
          <w:rFonts w:ascii="Times New Roman" w:hAnsi="Times New Roman" w:cs="Times New Roman"/>
          <w:szCs w:val="22"/>
        </w:rPr>
      </w:pPr>
      <w:r>
        <w:rPr>
          <w:rFonts w:ascii="Times New Roman" w:hAnsi="Times New Roman" w:cs="Times New Roman"/>
          <w:szCs w:val="22"/>
        </w:rPr>
        <w:t>5.</w:t>
      </w:r>
      <w:r>
        <w:rPr>
          <w:rFonts w:ascii="Times New Roman" w:hAnsi="Times New Roman" w:cs="Times New Roman"/>
          <w:szCs w:val="22"/>
        </w:rPr>
        <w:tab/>
        <w:t>Assess the resource implications and funding potential of projects in the strategic plan and biennial work plan.</w:t>
      </w:r>
    </w:p>
    <w:p w14:paraId="2CB0BD02" w14:textId="77777777" w:rsidR="002B4219" w:rsidRDefault="002B4219">
      <w:pPr>
        <w:tabs>
          <w:tab w:val="left" w:pos="540"/>
          <w:tab w:val="left" w:pos="1080"/>
        </w:tabs>
        <w:spacing w:line="240" w:lineRule="exact"/>
        <w:ind w:rightChars="-2" w:right="-4"/>
        <w:jc w:val="both"/>
        <w:rPr>
          <w:rFonts w:ascii="Times New Roman" w:hAnsi="Times New Roman" w:cs="Times New Roman"/>
          <w:bCs/>
          <w:sz w:val="22"/>
          <w:szCs w:val="22"/>
        </w:rPr>
      </w:pPr>
    </w:p>
    <w:p w14:paraId="134FD08B" w14:textId="77777777" w:rsidR="002B4219" w:rsidRDefault="0069269F">
      <w:pPr>
        <w:pStyle w:val="BlockText"/>
        <w:numPr>
          <w:ilvl w:val="0"/>
          <w:numId w:val="2"/>
        </w:numPr>
        <w:tabs>
          <w:tab w:val="clear" w:pos="425"/>
          <w:tab w:val="left" w:pos="1080"/>
        </w:tabs>
        <w:ind w:right="-4"/>
        <w:rPr>
          <w:rFonts w:ascii="Times New Roman" w:hAnsi="Times New Roman" w:cs="Times New Roman"/>
          <w:szCs w:val="22"/>
        </w:rPr>
      </w:pPr>
      <w:r>
        <w:rPr>
          <w:rFonts w:ascii="Times New Roman" w:hAnsi="Times New Roman" w:cs="Times New Roman"/>
          <w:szCs w:val="22"/>
        </w:rPr>
        <w:t>Facilitate the exchange and sharing of experience and knowledge on issues related to RM in TC.</w:t>
      </w:r>
    </w:p>
    <w:p w14:paraId="78001DAA" w14:textId="77777777" w:rsidR="002B4219" w:rsidRDefault="0069269F">
      <w:pPr>
        <w:pStyle w:val="BlockText"/>
        <w:tabs>
          <w:tab w:val="left" w:pos="1080"/>
        </w:tabs>
        <w:ind w:left="0" w:right="-4" w:firstLine="0"/>
        <w:rPr>
          <w:rFonts w:ascii="Times New Roman" w:hAnsi="Times New Roman" w:cs="Times New Roman"/>
          <w:szCs w:val="22"/>
        </w:rPr>
      </w:pPr>
      <w:r>
        <w:rPr>
          <w:rFonts w:ascii="Times New Roman" w:hAnsi="Times New Roman" w:cs="Times New Roman"/>
          <w:szCs w:val="22"/>
        </w:rPr>
        <w:tab/>
      </w:r>
    </w:p>
    <w:p w14:paraId="377EF34D" w14:textId="77777777" w:rsidR="002B4219" w:rsidRDefault="0069269F">
      <w:pPr>
        <w:pStyle w:val="BlockText"/>
        <w:tabs>
          <w:tab w:val="left" w:pos="1080"/>
        </w:tabs>
        <w:ind w:right="-4"/>
        <w:rPr>
          <w:rFonts w:ascii="Times New Roman" w:hAnsi="Times New Roman" w:cs="Times New Roman"/>
          <w:szCs w:val="22"/>
        </w:rPr>
      </w:pPr>
      <w:r>
        <w:rPr>
          <w:rFonts w:ascii="Times New Roman" w:hAnsi="Times New Roman" w:cs="Times New Roman"/>
          <w:szCs w:val="22"/>
        </w:rPr>
        <w:t>7.</w:t>
      </w:r>
      <w:r>
        <w:rPr>
          <w:rFonts w:ascii="Times New Roman" w:hAnsi="Times New Roman" w:cs="Times New Roman"/>
          <w:szCs w:val="22"/>
        </w:rPr>
        <w:tab/>
        <w:t>Develop and maintain a strategy plan for large-scale long-term regional projects.</w:t>
      </w:r>
    </w:p>
    <w:p w14:paraId="1C48A438" w14:textId="77777777" w:rsidR="002B4219" w:rsidRDefault="002B4219">
      <w:pPr>
        <w:pStyle w:val="BlockText"/>
        <w:tabs>
          <w:tab w:val="left" w:pos="1080"/>
        </w:tabs>
        <w:ind w:right="-4"/>
        <w:rPr>
          <w:rFonts w:ascii="Times New Roman" w:hAnsi="Times New Roman" w:cs="Times New Roman"/>
          <w:szCs w:val="22"/>
        </w:rPr>
      </w:pPr>
    </w:p>
    <w:p w14:paraId="29D0CA9E" w14:textId="77777777" w:rsidR="002B4219" w:rsidRDefault="0069269F">
      <w:pPr>
        <w:pStyle w:val="BlockText"/>
        <w:tabs>
          <w:tab w:val="left" w:pos="1080"/>
        </w:tabs>
        <w:ind w:right="-4"/>
        <w:rPr>
          <w:rFonts w:ascii="Times New Roman" w:hAnsi="Times New Roman" w:cs="Times New Roman"/>
          <w:szCs w:val="22"/>
        </w:rPr>
      </w:pPr>
      <w:r>
        <w:rPr>
          <w:rFonts w:ascii="Times New Roman" w:hAnsi="Times New Roman" w:cs="Times New Roman"/>
          <w:szCs w:val="22"/>
        </w:rPr>
        <w:t>8.</w:t>
      </w:r>
      <w:r>
        <w:rPr>
          <w:rFonts w:ascii="Times New Roman" w:hAnsi="Times New Roman" w:cs="Times New Roman"/>
          <w:szCs w:val="22"/>
        </w:rPr>
        <w:tab/>
        <w:t>Prioritize TC projects in accordance with the ease of obtaining funds for demonstrating the resource mobilization process, identify and liaise with potential donors.</w:t>
      </w:r>
    </w:p>
    <w:p w14:paraId="49F9D3CF" w14:textId="77777777" w:rsidR="002B4219" w:rsidRDefault="002B4219">
      <w:pPr>
        <w:spacing w:beforeLines="50" w:before="120" w:afterLines="50" w:after="120" w:line="276" w:lineRule="auto"/>
        <w:rPr>
          <w:rFonts w:ascii="Times New Roman" w:hAnsi="Times New Roman" w:cs="Times New Roman"/>
          <w:bCs/>
          <w:sz w:val="22"/>
          <w:szCs w:val="22"/>
        </w:rPr>
      </w:pPr>
    </w:p>
    <w:p w14:paraId="103F7FD3" w14:textId="77777777" w:rsidR="002B4219" w:rsidRDefault="002B4219">
      <w:pPr>
        <w:shd w:val="clear" w:color="auto" w:fill="FFFFFF"/>
        <w:spacing w:beforeLines="50" w:before="120" w:afterLines="50" w:after="120" w:line="288" w:lineRule="auto"/>
        <w:ind w:left="913" w:hangingChars="415" w:hanging="913"/>
        <w:rPr>
          <w:rFonts w:ascii="Times New Roman" w:hAnsi="Times New Roman" w:cs="Times New Roman"/>
          <w:color w:val="000000"/>
          <w:sz w:val="22"/>
          <w:szCs w:val="22"/>
        </w:rPr>
      </w:pPr>
    </w:p>
    <w:p w14:paraId="6F176A09" w14:textId="77777777" w:rsidR="002B4219" w:rsidRDefault="0069269F">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704BD7CC" w14:textId="77777777" w:rsidR="002B4219" w:rsidRDefault="0069269F">
      <w:pPr>
        <w:spacing w:beforeLines="50" w:before="120" w:afterLines="50" w:after="120" w:line="276" w:lineRule="auto"/>
        <w:rPr>
          <w:rFonts w:ascii="Times New Roman" w:hAnsi="Times New Roman" w:cs="Times New Roman"/>
          <w:b/>
          <w:bCs/>
          <w:sz w:val="24"/>
          <w:szCs w:val="24"/>
        </w:rPr>
      </w:pPr>
      <w:r>
        <w:rPr>
          <w:rFonts w:ascii="Times New Roman" w:hAnsi="Times New Roman" w:cs="Times New Roman"/>
          <w:color w:val="000000"/>
          <w:sz w:val="24"/>
          <w:szCs w:val="24"/>
        </w:rPr>
        <w:lastRenderedPageBreak/>
        <w:t>Annex 2</w:t>
      </w:r>
    </w:p>
    <w:p w14:paraId="28A2A91E" w14:textId="77777777" w:rsidR="002B4219" w:rsidRDefault="0069269F">
      <w:pPr>
        <w:spacing w:beforeLines="50" w:before="120" w:afterLines="50" w:after="120" w:line="276"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The </w:t>
      </w:r>
      <w:r>
        <w:rPr>
          <w:rFonts w:ascii="Times New Roman" w:hAnsi="Times New Roman" w:cs="Times New Roman" w:hint="eastAsia"/>
          <w:b/>
          <w:bCs/>
          <w:sz w:val="24"/>
          <w:szCs w:val="24"/>
        </w:rPr>
        <w:t>R</w:t>
      </w:r>
      <w:r>
        <w:rPr>
          <w:rFonts w:ascii="Times New Roman" w:hAnsi="Times New Roman" w:cs="Times New Roman"/>
          <w:b/>
          <w:bCs/>
          <w:sz w:val="24"/>
          <w:szCs w:val="24"/>
        </w:rPr>
        <w:t xml:space="preserve">elevant </w:t>
      </w:r>
      <w:r>
        <w:rPr>
          <w:rFonts w:ascii="Times New Roman" w:hAnsi="Times New Roman" w:cs="Times New Roman" w:hint="eastAsia"/>
          <w:b/>
          <w:bCs/>
          <w:sz w:val="24"/>
          <w:szCs w:val="24"/>
        </w:rPr>
        <w:t>P</w:t>
      </w:r>
      <w:r>
        <w:rPr>
          <w:rFonts w:ascii="Times New Roman" w:hAnsi="Times New Roman" w:cs="Times New Roman"/>
          <w:b/>
          <w:bCs/>
          <w:sz w:val="24"/>
          <w:szCs w:val="24"/>
        </w:rPr>
        <w:t>rovisions of RM in the TC-SP</w:t>
      </w:r>
      <w:r>
        <w:rPr>
          <w:rFonts w:ascii="Times New Roman" w:hAnsi="Times New Roman" w:cs="Times New Roman" w:hint="eastAsia"/>
          <w:b/>
          <w:bCs/>
          <w:sz w:val="24"/>
          <w:szCs w:val="24"/>
        </w:rPr>
        <w:t>s</w:t>
      </w:r>
    </w:p>
    <w:p w14:paraId="033EAF0E" w14:textId="77777777" w:rsidR="002B4219" w:rsidRDefault="002B4219">
      <w:pPr>
        <w:spacing w:beforeLines="50" w:before="120" w:afterLines="50" w:after="120" w:line="276" w:lineRule="auto"/>
        <w:rPr>
          <w:rFonts w:ascii="Times New Roman" w:hAnsi="Times New Roman" w:cs="Times New Roman"/>
          <w:sz w:val="24"/>
          <w:szCs w:val="24"/>
        </w:rPr>
      </w:pPr>
    </w:p>
    <w:p w14:paraId="16CE66AF" w14:textId="77777777" w:rsidR="002B4219" w:rsidRDefault="0069269F">
      <w:pPr>
        <w:spacing w:beforeLines="50" w:before="120" w:afterLines="50" w:after="120" w:line="276" w:lineRule="auto"/>
        <w:ind w:firstLineChars="300" w:firstLine="660"/>
        <w:rPr>
          <w:rFonts w:ascii="Times New Roman" w:hAnsi="Times New Roman" w:cs="Times New Roman"/>
          <w:sz w:val="22"/>
          <w:szCs w:val="22"/>
        </w:rPr>
      </w:pPr>
      <w:r>
        <w:rPr>
          <w:rFonts w:ascii="Times New Roman" w:hAnsi="Times New Roman" w:cs="Times New Roman"/>
          <w:sz w:val="22"/>
          <w:szCs w:val="22"/>
        </w:rPr>
        <w:t xml:space="preserve">The importance of resource mobilization has been emphasized in all editions of the Strategic Plan of the Committee. The relevant provisions are excerpted below: </w:t>
      </w:r>
    </w:p>
    <w:p w14:paraId="0745FCB4" w14:textId="77777777" w:rsidR="002B4219" w:rsidRDefault="0069269F">
      <w:pPr>
        <w:numPr>
          <w:ilvl w:val="0"/>
          <w:numId w:val="11"/>
        </w:numPr>
        <w:tabs>
          <w:tab w:val="clear" w:pos="425"/>
        </w:tabs>
        <w:spacing w:beforeLines="100" w:before="240" w:afterLines="100" w:after="240" w:line="276" w:lineRule="auto"/>
        <w:ind w:hanging="425"/>
        <w:jc w:val="both"/>
        <w:rPr>
          <w:rFonts w:ascii="Times New Roman" w:hAnsi="Times New Roman" w:cs="Times New Roman"/>
          <w:b/>
          <w:bCs/>
          <w:sz w:val="22"/>
          <w:szCs w:val="22"/>
        </w:rPr>
      </w:pPr>
      <w:r>
        <w:rPr>
          <w:rFonts w:ascii="Times New Roman" w:hAnsi="Times New Roman" w:cs="Times New Roman"/>
          <w:b/>
          <w:bCs/>
          <w:sz w:val="22"/>
          <w:szCs w:val="22"/>
        </w:rPr>
        <w:t xml:space="preserve">Strategic Plan 2007-2011 approved at 39th Session in 2006: </w:t>
      </w:r>
    </w:p>
    <w:p w14:paraId="22FC478E" w14:textId="77777777" w:rsidR="002B4219" w:rsidRDefault="0069269F">
      <w:pPr>
        <w:pStyle w:val="HeaderInfo"/>
        <w:spacing w:beforeLines="50" w:before="120" w:afterLines="50" w:after="120" w:line="276" w:lineRule="auto"/>
        <w:ind w:right="-1" w:firstLineChars="272" w:firstLine="598"/>
        <w:rPr>
          <w:rFonts w:ascii="Times New Roman" w:eastAsia="SimSun" w:hAnsi="Times New Roman"/>
          <w:bCs/>
          <w:color w:val="000000" w:themeColor="text1"/>
          <w:szCs w:val="22"/>
          <w:lang w:val="en-US" w:eastAsia="zh-CN"/>
        </w:rPr>
      </w:pPr>
      <w:r>
        <w:rPr>
          <w:rFonts w:ascii="Times New Roman" w:eastAsia="SimSun" w:hAnsi="Times New Roman"/>
          <w:bCs/>
          <w:szCs w:val="22"/>
          <w:lang w:val="en-US" w:eastAsia="zh-CN"/>
        </w:rPr>
        <w:t>Article Strategic Goal 7b:  To strengthen the capacity for</w:t>
      </w:r>
      <w:r>
        <w:rPr>
          <w:rFonts w:ascii="Times New Roman" w:eastAsia="SimSun" w:hAnsi="Times New Roman"/>
          <w:bCs/>
          <w:color w:val="000000" w:themeColor="text1"/>
          <w:szCs w:val="22"/>
          <w:lang w:val="en-US" w:eastAsia="zh-CN"/>
        </w:rPr>
        <w:t xml:space="preserve"> resources mobilization for the implementation of the strategic goals</w:t>
      </w:r>
    </w:p>
    <w:p w14:paraId="4351D4F9" w14:textId="77777777" w:rsidR="002B4219" w:rsidRDefault="0069269F">
      <w:pPr>
        <w:spacing w:beforeLines="50" w:before="120" w:afterLines="50" w:after="120" w:line="276" w:lineRule="auto"/>
        <w:ind w:leftChars="300" w:left="600"/>
        <w:rPr>
          <w:rFonts w:ascii="Times New Roman" w:hAnsi="Times New Roman" w:cs="Times New Roman"/>
          <w:bCs/>
          <w:color w:val="000000" w:themeColor="text1"/>
          <w:sz w:val="22"/>
          <w:szCs w:val="22"/>
        </w:rPr>
      </w:pPr>
      <w:r>
        <w:rPr>
          <w:rFonts w:ascii="Times New Roman" w:hAnsi="Times New Roman" w:cs="Times New Roman"/>
          <w:bCs/>
          <w:color w:val="000000" w:themeColor="text1"/>
          <w:sz w:val="22"/>
          <w:szCs w:val="22"/>
        </w:rPr>
        <w:t>Integrated:</w:t>
      </w:r>
    </w:p>
    <w:p w14:paraId="35642BC0" w14:textId="77777777" w:rsidR="002B4219" w:rsidRDefault="0069269F">
      <w:pPr>
        <w:numPr>
          <w:ilvl w:val="0"/>
          <w:numId w:val="12"/>
        </w:numPr>
        <w:spacing w:line="276" w:lineRule="auto"/>
        <w:ind w:leftChars="500" w:left="1398" w:hangingChars="181" w:hanging="398"/>
        <w:jc w:val="both"/>
        <w:rPr>
          <w:rFonts w:ascii="Times New Roman" w:hAnsi="Times New Roman" w:cs="Times New Roman"/>
          <w:bCs/>
          <w:color w:val="000000" w:themeColor="text1"/>
          <w:sz w:val="22"/>
          <w:szCs w:val="22"/>
        </w:rPr>
      </w:pPr>
      <w:r>
        <w:rPr>
          <w:rFonts w:ascii="Times New Roman" w:hAnsi="Times New Roman" w:cs="Times New Roman"/>
          <w:bCs/>
          <w:color w:val="000000" w:themeColor="text1"/>
          <w:sz w:val="22"/>
          <w:szCs w:val="22"/>
        </w:rPr>
        <w:t>Collect, collate, and make available to Members successful cases of project funding for their reference.</w:t>
      </w:r>
    </w:p>
    <w:p w14:paraId="5EEF2FAD" w14:textId="77777777" w:rsidR="002B4219" w:rsidRDefault="0069269F">
      <w:pPr>
        <w:numPr>
          <w:ilvl w:val="0"/>
          <w:numId w:val="12"/>
        </w:numPr>
        <w:spacing w:line="276" w:lineRule="auto"/>
        <w:ind w:leftChars="500" w:left="1398" w:hangingChars="181" w:hanging="398"/>
        <w:jc w:val="both"/>
        <w:rPr>
          <w:rFonts w:ascii="Times New Roman" w:hAnsi="Times New Roman" w:cs="Times New Roman"/>
          <w:bCs/>
          <w:color w:val="000000" w:themeColor="text1"/>
          <w:sz w:val="22"/>
          <w:szCs w:val="22"/>
        </w:rPr>
      </w:pPr>
      <w:r>
        <w:rPr>
          <w:rFonts w:ascii="Times New Roman" w:hAnsi="Times New Roman" w:cs="Times New Roman"/>
          <w:bCs/>
          <w:color w:val="000000" w:themeColor="text1"/>
          <w:sz w:val="22"/>
          <w:szCs w:val="22"/>
        </w:rPr>
        <w:t>Enhance resource mobilization to reduce the impacts of typhoon-related disasters on debt sustainability of Members.</w:t>
      </w:r>
    </w:p>
    <w:p w14:paraId="1904F244" w14:textId="77777777" w:rsidR="002B4219" w:rsidRDefault="0069269F">
      <w:pPr>
        <w:spacing w:beforeLines="50" w:before="120" w:afterLines="50" w:after="120" w:line="276" w:lineRule="auto"/>
        <w:ind w:leftChars="300" w:left="600"/>
        <w:rPr>
          <w:rFonts w:ascii="Times New Roman" w:hAnsi="Times New Roman" w:cs="Times New Roman"/>
          <w:bCs/>
          <w:color w:val="000000" w:themeColor="text1"/>
          <w:sz w:val="22"/>
          <w:szCs w:val="22"/>
        </w:rPr>
      </w:pPr>
      <w:r>
        <w:rPr>
          <w:rFonts w:ascii="Times New Roman" w:hAnsi="Times New Roman" w:cs="Times New Roman"/>
          <w:bCs/>
          <w:color w:val="000000" w:themeColor="text1"/>
          <w:sz w:val="22"/>
          <w:szCs w:val="22"/>
        </w:rPr>
        <w:t xml:space="preserve"> Disaster Prevention and Preparedness Related:</w:t>
      </w:r>
    </w:p>
    <w:p w14:paraId="6DCEDC30" w14:textId="77777777" w:rsidR="002B4219" w:rsidRDefault="0069269F">
      <w:pPr>
        <w:numPr>
          <w:ilvl w:val="0"/>
          <w:numId w:val="12"/>
        </w:numPr>
        <w:spacing w:line="276" w:lineRule="auto"/>
        <w:ind w:leftChars="500" w:left="1398" w:hangingChars="181" w:hanging="398"/>
        <w:jc w:val="both"/>
        <w:rPr>
          <w:rFonts w:ascii="Times New Roman" w:hAnsi="Times New Roman" w:cs="Times New Roman"/>
          <w:bCs/>
          <w:color w:val="000000" w:themeColor="text1"/>
          <w:sz w:val="22"/>
          <w:szCs w:val="22"/>
        </w:rPr>
      </w:pPr>
      <w:r>
        <w:rPr>
          <w:rFonts w:ascii="Times New Roman" w:hAnsi="Times New Roman" w:cs="Times New Roman"/>
          <w:bCs/>
          <w:color w:val="000000" w:themeColor="text1"/>
          <w:sz w:val="22"/>
          <w:szCs w:val="22"/>
        </w:rPr>
        <w:t>Facilitate resource mobilization for disaster Prevention and Preparedness projects among Members with assistance from international, regional, national, Typhoon Committee Resource Mobilization Group (RMG), and the TCS.</w:t>
      </w:r>
    </w:p>
    <w:p w14:paraId="33E21433" w14:textId="77777777" w:rsidR="002B4219" w:rsidRDefault="0069269F">
      <w:pPr>
        <w:numPr>
          <w:ilvl w:val="0"/>
          <w:numId w:val="11"/>
        </w:numPr>
        <w:tabs>
          <w:tab w:val="clear" w:pos="425"/>
        </w:tabs>
        <w:spacing w:beforeLines="100" w:before="240" w:afterLines="100" w:after="240" w:line="276" w:lineRule="auto"/>
        <w:ind w:hanging="425"/>
        <w:jc w:val="both"/>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Strategic Plan 2012-2016 approved at 44th Session in 2012:</w:t>
      </w:r>
    </w:p>
    <w:p w14:paraId="032DBEA0" w14:textId="77777777" w:rsidR="002B4219" w:rsidRDefault="0069269F">
      <w:pPr>
        <w:pStyle w:val="HeaderInfo"/>
        <w:spacing w:beforeLines="50" w:before="120" w:afterLines="50" w:after="120" w:line="276" w:lineRule="auto"/>
        <w:ind w:right="-1" w:firstLineChars="272" w:firstLine="598"/>
        <w:rPr>
          <w:rFonts w:ascii="Times New Roman" w:eastAsia="SimSun" w:hAnsi="Times New Roman"/>
          <w:bCs/>
          <w:szCs w:val="22"/>
          <w:lang w:val="en-US" w:eastAsia="zh-CN"/>
        </w:rPr>
      </w:pPr>
      <w:r>
        <w:rPr>
          <w:rFonts w:ascii="Times New Roman" w:eastAsia="SimSun" w:hAnsi="Times New Roman"/>
          <w:bCs/>
          <w:szCs w:val="22"/>
          <w:lang w:val="en-US" w:eastAsia="zh-CN"/>
        </w:rPr>
        <w:t>Article Strategic Goal 7b: To mobilize available resources and engage collaborators for the implementation of the strategic goals.</w:t>
      </w:r>
    </w:p>
    <w:p w14:paraId="0CF6A84A" w14:textId="77777777" w:rsidR="002B4219" w:rsidRDefault="0069269F">
      <w:pPr>
        <w:spacing w:beforeLines="50" w:before="120" w:afterLines="50" w:after="120" w:line="276" w:lineRule="auto"/>
        <w:ind w:leftChars="300" w:left="600"/>
        <w:rPr>
          <w:rFonts w:ascii="Times New Roman" w:hAnsi="Times New Roman" w:cs="Times New Roman"/>
          <w:bCs/>
          <w:color w:val="000000" w:themeColor="text1"/>
          <w:sz w:val="22"/>
          <w:szCs w:val="22"/>
        </w:rPr>
      </w:pPr>
      <w:r>
        <w:rPr>
          <w:rFonts w:ascii="Times New Roman" w:hAnsi="Times New Roman" w:cs="Times New Roman"/>
          <w:bCs/>
          <w:color w:val="000000" w:themeColor="text1"/>
          <w:sz w:val="22"/>
          <w:szCs w:val="22"/>
        </w:rPr>
        <w:t>Integrated:</w:t>
      </w:r>
    </w:p>
    <w:p w14:paraId="6DA2E025" w14:textId="77777777" w:rsidR="002B4219" w:rsidRDefault="0069269F">
      <w:pPr>
        <w:numPr>
          <w:ilvl w:val="0"/>
          <w:numId w:val="12"/>
        </w:numPr>
        <w:spacing w:line="276" w:lineRule="auto"/>
        <w:ind w:leftChars="500" w:left="1398" w:hangingChars="181" w:hanging="398"/>
        <w:jc w:val="both"/>
        <w:rPr>
          <w:rFonts w:ascii="Times New Roman" w:hAnsi="Times New Roman" w:cs="Times New Roman"/>
          <w:bCs/>
          <w:color w:val="000000" w:themeColor="text1"/>
          <w:sz w:val="22"/>
          <w:szCs w:val="22"/>
        </w:rPr>
      </w:pPr>
      <w:r>
        <w:rPr>
          <w:rFonts w:ascii="Times New Roman" w:hAnsi="Times New Roman" w:cs="Times New Roman"/>
          <w:bCs/>
          <w:color w:val="000000" w:themeColor="text1"/>
          <w:sz w:val="22"/>
          <w:szCs w:val="22"/>
        </w:rPr>
        <w:t>Collect, collate, and make available to Members successful cases of project funding for their reference.</w:t>
      </w:r>
    </w:p>
    <w:p w14:paraId="1C7DE44B" w14:textId="77777777" w:rsidR="002B4219" w:rsidRDefault="0069269F">
      <w:pPr>
        <w:numPr>
          <w:ilvl w:val="0"/>
          <w:numId w:val="12"/>
        </w:numPr>
        <w:spacing w:line="276" w:lineRule="auto"/>
        <w:ind w:leftChars="500" w:left="1398" w:hangingChars="181" w:hanging="398"/>
        <w:jc w:val="both"/>
        <w:rPr>
          <w:rFonts w:ascii="Times New Roman" w:hAnsi="Times New Roman" w:cs="Times New Roman"/>
          <w:bCs/>
          <w:color w:val="000000" w:themeColor="text1"/>
          <w:sz w:val="22"/>
          <w:szCs w:val="22"/>
        </w:rPr>
      </w:pPr>
      <w:r>
        <w:rPr>
          <w:rFonts w:ascii="Times New Roman" w:hAnsi="Times New Roman" w:cs="Times New Roman"/>
          <w:bCs/>
          <w:color w:val="000000" w:themeColor="text1"/>
          <w:sz w:val="22"/>
          <w:szCs w:val="22"/>
        </w:rPr>
        <w:t>Enhance resource mobilization to reduce the impacts of typhoon-related disasters on debt sustainability of Members.</w:t>
      </w:r>
    </w:p>
    <w:p w14:paraId="24ABDB5A" w14:textId="77777777" w:rsidR="002B4219" w:rsidRDefault="0069269F">
      <w:pPr>
        <w:numPr>
          <w:ilvl w:val="0"/>
          <w:numId w:val="11"/>
        </w:numPr>
        <w:tabs>
          <w:tab w:val="clear" w:pos="425"/>
        </w:tabs>
        <w:spacing w:beforeLines="100" w:before="240" w:afterLines="100" w:after="240" w:line="276" w:lineRule="auto"/>
        <w:ind w:hanging="425"/>
        <w:jc w:val="both"/>
        <w:rPr>
          <w:rFonts w:ascii="Times New Roman" w:hAnsi="Times New Roman" w:cs="Times New Roman"/>
          <w:b/>
          <w:bCs/>
          <w:color w:val="000000" w:themeColor="text1"/>
          <w:sz w:val="22"/>
          <w:szCs w:val="22"/>
          <w:lang w:eastAsia="ja-JP"/>
        </w:rPr>
      </w:pPr>
      <w:r>
        <w:rPr>
          <w:rFonts w:ascii="Times New Roman" w:hAnsi="Times New Roman" w:cs="Times New Roman"/>
          <w:b/>
          <w:bCs/>
          <w:color w:val="000000" w:themeColor="text1"/>
          <w:sz w:val="22"/>
          <w:szCs w:val="22"/>
        </w:rPr>
        <w:t xml:space="preserve"> Strategic Plan 2017-2021 approved at 49th Session</w:t>
      </w:r>
      <w:bookmarkStart w:id="1" w:name="_Toc475462227"/>
      <w:r>
        <w:rPr>
          <w:rFonts w:ascii="Times New Roman" w:hAnsi="Times New Roman" w:cs="Times New Roman"/>
          <w:b/>
          <w:bCs/>
          <w:color w:val="000000" w:themeColor="text1"/>
          <w:sz w:val="22"/>
          <w:szCs w:val="22"/>
        </w:rPr>
        <w:t xml:space="preserve"> in 2017:</w:t>
      </w:r>
    </w:p>
    <w:p w14:paraId="700AD7D2" w14:textId="77777777" w:rsidR="002B4219" w:rsidRDefault="0069269F">
      <w:pPr>
        <w:spacing w:beforeLines="50" w:before="120" w:afterLines="50" w:after="120" w:line="276" w:lineRule="auto"/>
        <w:ind w:leftChars="500" w:left="1000"/>
        <w:jc w:val="both"/>
        <w:rPr>
          <w:rFonts w:ascii="Times New Roman" w:hAnsi="Times New Roman" w:cs="Times New Roman"/>
          <w:color w:val="000000" w:themeColor="text1"/>
          <w:sz w:val="22"/>
          <w:szCs w:val="22"/>
          <w:lang w:eastAsia="ja-JP"/>
        </w:rPr>
      </w:pPr>
      <w:r>
        <w:rPr>
          <w:rFonts w:ascii="Times New Roman" w:eastAsia="SimSun" w:hAnsi="Times New Roman" w:cs="Times New Roman"/>
          <w:bCs/>
          <w:color w:val="000000" w:themeColor="text1"/>
          <w:sz w:val="22"/>
          <w:szCs w:val="22"/>
        </w:rPr>
        <w:t xml:space="preserve">Article 8: </w:t>
      </w:r>
      <w:r>
        <w:rPr>
          <w:rFonts w:ascii="Times New Roman" w:hAnsi="Times New Roman" w:cs="Times New Roman"/>
          <w:color w:val="000000" w:themeColor="text1"/>
          <w:sz w:val="22"/>
          <w:szCs w:val="22"/>
          <w:lang w:eastAsia="ja-JP"/>
        </w:rPr>
        <w:t>Enhance Effectiveness, Efficiency and International Cooperation</w:t>
      </w:r>
      <w:bookmarkEnd w:id="1"/>
    </w:p>
    <w:p w14:paraId="6B06821B" w14:textId="77777777" w:rsidR="002B4219" w:rsidRDefault="0069269F">
      <w:pPr>
        <w:spacing w:beforeLines="50" w:before="120" w:afterLines="50" w:after="120" w:line="276" w:lineRule="auto"/>
        <w:ind w:leftChars="500" w:left="1000" w:firstLineChars="272" w:firstLine="598"/>
        <w:jc w:val="both"/>
        <w:rPr>
          <w:rFonts w:ascii="Times New Roman" w:hAnsi="Times New Roman" w:cs="Times New Roman"/>
          <w:bCs/>
          <w:color w:val="000000" w:themeColor="text1"/>
          <w:sz w:val="22"/>
          <w:szCs w:val="22"/>
          <w:lang w:eastAsia="ja-JP"/>
        </w:rPr>
      </w:pPr>
      <w:r>
        <w:rPr>
          <w:rFonts w:ascii="Times New Roman" w:hAnsi="Times New Roman" w:cs="Times New Roman"/>
          <w:bCs/>
          <w:color w:val="000000" w:themeColor="text1"/>
          <w:sz w:val="22"/>
          <w:szCs w:val="22"/>
          <w:lang w:eastAsia="ja-JP"/>
        </w:rPr>
        <w:t>To achieve its stated mission, the Typhoon Committee should pursue effectiveness and efficiency of its</w:t>
      </w:r>
      <w:r>
        <w:rPr>
          <w:rFonts w:ascii="Times New Roman" w:hAnsi="Times New Roman" w:cs="Times New Roman"/>
          <w:bCs/>
          <w:color w:val="000000" w:themeColor="text1"/>
          <w:sz w:val="22"/>
          <w:szCs w:val="22"/>
        </w:rPr>
        <w:t xml:space="preserve"> </w:t>
      </w:r>
      <w:r>
        <w:rPr>
          <w:rFonts w:ascii="Times New Roman" w:hAnsi="Times New Roman" w:cs="Times New Roman"/>
          <w:bCs/>
          <w:color w:val="000000" w:themeColor="text1"/>
          <w:sz w:val="22"/>
          <w:szCs w:val="22"/>
          <w:lang w:eastAsia="ja-JP"/>
        </w:rPr>
        <w:t>activities by monitoring and evaluating activities, including AOPs. Resource mobilizations for the Committee activities should be facilitated with a</w:t>
      </w:r>
      <w:r>
        <w:rPr>
          <w:rFonts w:ascii="Times New Roman" w:hAnsi="Times New Roman" w:cs="Times New Roman"/>
          <w:bCs/>
          <w:color w:val="000000" w:themeColor="text1"/>
          <w:sz w:val="22"/>
          <w:szCs w:val="22"/>
        </w:rPr>
        <w:t xml:space="preserve">ssistance </w:t>
      </w:r>
      <w:r>
        <w:rPr>
          <w:rFonts w:ascii="Times New Roman" w:hAnsi="Times New Roman" w:cs="Times New Roman"/>
          <w:bCs/>
          <w:color w:val="000000" w:themeColor="text1"/>
          <w:sz w:val="22"/>
          <w:szCs w:val="22"/>
          <w:lang w:eastAsia="ja-JP"/>
        </w:rPr>
        <w:t xml:space="preserve">from other </w:t>
      </w:r>
      <w:r>
        <w:rPr>
          <w:rFonts w:ascii="Times New Roman" w:hAnsi="Times New Roman" w:cs="Times New Roman"/>
          <w:bCs/>
          <w:color w:val="000000" w:themeColor="text1"/>
          <w:sz w:val="22"/>
          <w:szCs w:val="22"/>
        </w:rPr>
        <w:t xml:space="preserve">international organizations and funding </w:t>
      </w:r>
      <w:r>
        <w:rPr>
          <w:rFonts w:ascii="Times New Roman" w:hAnsi="Times New Roman" w:cs="Times New Roman"/>
          <w:bCs/>
          <w:color w:val="000000" w:themeColor="text1"/>
          <w:sz w:val="22"/>
          <w:szCs w:val="22"/>
          <w:lang w:eastAsia="ja-JP"/>
        </w:rPr>
        <w:t>agencies. Collaborative activities between the Typhoon Committee and the Panel on Tropical Cyclones should be further enhanced in accordance with the decision at the third joint session in 2015.</w:t>
      </w:r>
    </w:p>
    <w:p w14:paraId="73BA3885" w14:textId="77777777" w:rsidR="002B4219" w:rsidRDefault="0069269F">
      <w:pPr>
        <w:numPr>
          <w:ilvl w:val="0"/>
          <w:numId w:val="11"/>
        </w:numPr>
        <w:tabs>
          <w:tab w:val="clear" w:pos="425"/>
        </w:tabs>
        <w:spacing w:beforeLines="100" w:before="240" w:afterLines="100" w:after="240" w:line="276" w:lineRule="auto"/>
        <w:ind w:hanging="425"/>
        <w:jc w:val="both"/>
        <w:rPr>
          <w:rFonts w:ascii="Times New Roman" w:hAnsi="Times New Roman" w:cs="Times New Roman"/>
          <w:b/>
          <w:bCs/>
          <w:color w:val="000000" w:themeColor="text1"/>
          <w:sz w:val="22"/>
          <w:szCs w:val="22"/>
          <w:lang w:eastAsia="ja-JP"/>
        </w:rPr>
      </w:pPr>
      <w:r>
        <w:rPr>
          <w:rFonts w:ascii="Times New Roman" w:hAnsi="Times New Roman" w:cs="Times New Roman"/>
          <w:b/>
          <w:bCs/>
          <w:color w:val="000000" w:themeColor="text1"/>
          <w:sz w:val="22"/>
          <w:szCs w:val="22"/>
        </w:rPr>
        <w:t>Strategic Plan 2022-2026 approved at 54th Session in 2022:</w:t>
      </w:r>
    </w:p>
    <w:p w14:paraId="4A174A1D" w14:textId="77777777" w:rsidR="002B4219" w:rsidRDefault="0069269F">
      <w:pPr>
        <w:spacing w:beforeLines="50" w:before="120" w:afterLines="50" w:after="120" w:line="276" w:lineRule="auto"/>
        <w:ind w:leftChars="500" w:left="1000"/>
        <w:jc w:val="both"/>
        <w:rPr>
          <w:rFonts w:ascii="Times New Roman" w:hAnsi="Times New Roman" w:cs="Times New Roman"/>
          <w:color w:val="000000" w:themeColor="text1"/>
          <w:sz w:val="22"/>
          <w:szCs w:val="22"/>
          <w:lang w:eastAsia="ja-JP"/>
        </w:rPr>
      </w:pPr>
      <w:r>
        <w:rPr>
          <w:rFonts w:ascii="Times New Roman" w:eastAsia="SimSun" w:hAnsi="Times New Roman" w:cs="Times New Roman"/>
          <w:bCs/>
          <w:color w:val="000000" w:themeColor="text1"/>
          <w:sz w:val="22"/>
          <w:szCs w:val="22"/>
        </w:rPr>
        <w:t xml:space="preserve">Article 8: </w:t>
      </w:r>
      <w:r>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lang w:eastAsia="ja-JP"/>
        </w:rPr>
        <w:t>Enhance Effectiveness, Efficiency and International Cooperation</w:t>
      </w:r>
    </w:p>
    <w:p w14:paraId="7A8327DA" w14:textId="77777777" w:rsidR="002B4219" w:rsidRDefault="0069269F">
      <w:pPr>
        <w:spacing w:beforeLines="50" w:before="120" w:afterLines="50" w:after="120" w:line="276" w:lineRule="auto"/>
        <w:ind w:leftChars="500" w:left="1000" w:firstLineChars="272" w:firstLine="598"/>
        <w:jc w:val="both"/>
        <w:rPr>
          <w:rFonts w:ascii="Times New Roman" w:hAnsi="Times New Roman" w:cs="Times New Roman"/>
          <w:bCs/>
          <w:color w:val="000000" w:themeColor="text1"/>
          <w:sz w:val="22"/>
          <w:szCs w:val="22"/>
          <w:lang w:eastAsia="ja-JP"/>
        </w:rPr>
      </w:pPr>
      <w:r>
        <w:rPr>
          <w:rFonts w:ascii="Times New Roman" w:hAnsi="Times New Roman" w:cs="Times New Roman"/>
          <w:bCs/>
          <w:color w:val="000000" w:themeColor="text1"/>
          <w:sz w:val="22"/>
          <w:szCs w:val="22"/>
          <w:lang w:eastAsia="ja-JP"/>
        </w:rPr>
        <w:lastRenderedPageBreak/>
        <w:t>To achieve its stated mission, the Typhoon Committee should pursue effectiveness and efficiency of its activities by monitoring and evaluating activities, including AOPs. Resource mobilizations for the Committee activities should be facilitated with assistance from other international organizations and funding agencies.  Typhoon Committee will keep in view of potential areas and suitable opportunity to further enhance collaborative activities with WMO/ESCAP Panel on Tropical Cyclones.</w:t>
      </w:r>
    </w:p>
    <w:p w14:paraId="149CD6ED" w14:textId="77777777" w:rsidR="002B4219" w:rsidRDefault="002B4219">
      <w:pPr>
        <w:shd w:val="clear" w:color="auto" w:fill="FFFFFF"/>
        <w:spacing w:beforeLines="50" w:before="120" w:afterLines="50" w:after="120" w:line="288" w:lineRule="auto"/>
        <w:ind w:left="996" w:hangingChars="415" w:hanging="996"/>
        <w:rPr>
          <w:rFonts w:ascii="Times New Roman" w:hAnsi="Times New Roman" w:cs="Times New Roman"/>
          <w:color w:val="000000" w:themeColor="text1"/>
          <w:sz w:val="24"/>
          <w:szCs w:val="24"/>
        </w:rPr>
      </w:pPr>
    </w:p>
    <w:sectPr w:rsidR="002B4219">
      <w:footerReference w:type="default" r:id="rId9"/>
      <w:pgSz w:w="11906" w:h="16838"/>
      <w:pgMar w:top="1440" w:right="1463" w:bottom="1440" w:left="146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58E7B" w14:textId="77777777" w:rsidR="00DB778D" w:rsidRDefault="00DB778D">
      <w:r>
        <w:separator/>
      </w:r>
    </w:p>
  </w:endnote>
  <w:endnote w:type="continuationSeparator" w:id="0">
    <w:p w14:paraId="5C80F82D" w14:textId="77777777" w:rsidR="00DB778D" w:rsidRDefault="00DB7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Bahnschrift">
    <w:panose1 w:val="020B0502040204020203"/>
    <w:charset w:val="00"/>
    <w:family w:val="swiss"/>
    <w:pitch w:val="variable"/>
    <w:sig w:usb0="A00002C7" w:usb1="00000002"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914AB" w14:textId="77777777" w:rsidR="002B4219" w:rsidRDefault="0069269F">
    <w:pPr>
      <w:pStyle w:val="Footer"/>
      <w:jc w:val="center"/>
    </w:pPr>
    <w:r>
      <w:rPr>
        <w:noProof/>
      </w:rPr>
      <mc:AlternateContent>
        <mc:Choice Requires="wps">
          <w:drawing>
            <wp:anchor distT="0" distB="0" distL="114300" distR="114300" simplePos="0" relativeHeight="251660288" behindDoc="0" locked="0" layoutInCell="1" allowOverlap="1" wp14:anchorId="13FC7D4C" wp14:editId="585F9464">
              <wp:simplePos x="0" y="0"/>
              <wp:positionH relativeFrom="margin">
                <wp:align>center</wp:align>
              </wp:positionH>
              <wp:positionV relativeFrom="paragraph">
                <wp:posOffset>0</wp:posOffset>
              </wp:positionV>
              <wp:extent cx="1828800" cy="1828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06D2FB" w14:textId="77777777" w:rsidR="002B4219" w:rsidRDefault="0069269F">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3FC7D4C" id="_x0000_t202" coordsize="21600,21600" o:spt="202" path="m,l,21600r21600,l21600,xe">
              <v:stroke joinstyle="miter"/>
              <v:path gradientshapeok="t" o:connecttype="rect"/>
            </v:shapetype>
            <v:shape id="Text Box 2"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" filled="f" stroked="f" strokeweight=".5pt">
              <v:textbox style="mso-fit-shape-to-text:t" inset="0,0,0,0">
                <w:txbxContent>
                  <w:p w14:paraId="4406D2FB" w14:textId="77777777" w:rsidR="002B4219" w:rsidRDefault="0069269F">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65CC9A9D" wp14:editId="75547484">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0D64E4" w14:textId="77777777" w:rsidR="002B4219" w:rsidRDefault="002B4219">
                          <w:pPr>
                            <w:pStyle w:val="Foote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65CC9A9D" id="Text Box 1"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" filled="f" stroked="f" strokeweight=".5pt">
              <v:textbox style="mso-fit-shape-to-text:t" inset="0,0,0,0">
                <w:txbxContent>
                  <w:p w14:paraId="190D64E4" w14:textId="77777777" w:rsidR="002B4219" w:rsidRDefault="002B4219">
                    <w:pPr>
                      <w:pStyle w:val="Foote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032DB" w14:textId="77777777" w:rsidR="00DB778D" w:rsidRDefault="00DB778D">
      <w:r>
        <w:separator/>
      </w:r>
    </w:p>
  </w:footnote>
  <w:footnote w:type="continuationSeparator" w:id="0">
    <w:p w14:paraId="08B380E7" w14:textId="77777777" w:rsidR="00DB778D" w:rsidRDefault="00DB77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9EEBB3D"/>
    <w:multiLevelType w:val="singleLevel"/>
    <w:tmpl w:val="A9EEBB3D"/>
    <w:lvl w:ilvl="0">
      <w:start w:val="1"/>
      <w:numFmt w:val="bullet"/>
      <w:lvlText w:val="—"/>
      <w:lvlJc w:val="left"/>
      <w:pPr>
        <w:tabs>
          <w:tab w:val="left" w:pos="420"/>
        </w:tabs>
        <w:ind w:left="420" w:hanging="420"/>
      </w:pPr>
      <w:rPr>
        <w:rFonts w:ascii="Arial" w:hAnsi="Arial" w:cs="Arial" w:hint="default"/>
      </w:rPr>
    </w:lvl>
  </w:abstractNum>
  <w:abstractNum w:abstractNumId="1" w15:restartNumberingAfterBreak="0">
    <w:nsid w:val="D8569FAE"/>
    <w:multiLevelType w:val="multilevel"/>
    <w:tmpl w:val="D8569FAE"/>
    <w:lvl w:ilvl="0">
      <w:start w:val="1"/>
      <w:numFmt w:val="decimal"/>
      <w:lvlText w:val="%1."/>
      <w:lvlJc w:val="left"/>
      <w:pPr>
        <w:tabs>
          <w:tab w:val="left" w:pos="425"/>
        </w:tabs>
        <w:ind w:left="425" w:hanging="65"/>
      </w:pPr>
      <w:rPr>
        <w:rFonts w:ascii="Symbol" w:hAnsi="Symbol" w:hint="default"/>
      </w:rPr>
    </w:lvl>
    <w:lvl w:ilvl="1">
      <w:start w:val="1"/>
      <w:numFmt w:val="lowerLetter"/>
      <w:lvlText w:val="%2."/>
      <w:lvlJc w:val="left"/>
      <w:pPr>
        <w:tabs>
          <w:tab w:val="left" w:pos="425"/>
        </w:tabs>
        <w:ind w:left="425" w:firstLine="655"/>
      </w:pPr>
      <w:rPr>
        <w:rFonts w:ascii="Courier New" w:hAnsi="Courier New" w:hint="default"/>
      </w:rPr>
    </w:lvl>
    <w:lvl w:ilvl="2">
      <w:start w:val="1"/>
      <w:numFmt w:val="lowerRoman"/>
      <w:lvlText w:val="%3."/>
      <w:lvlJc w:val="left"/>
      <w:pPr>
        <w:tabs>
          <w:tab w:val="left" w:pos="425"/>
        </w:tabs>
        <w:ind w:left="425" w:firstLine="1375"/>
      </w:pPr>
      <w:rPr>
        <w:rFonts w:ascii="Wingdings" w:hAnsi="Wingdings" w:hint="default"/>
      </w:rPr>
    </w:lvl>
    <w:lvl w:ilvl="3">
      <w:start w:val="1"/>
      <w:numFmt w:val="decimal"/>
      <w:lvlText w:val="%4."/>
      <w:lvlJc w:val="left"/>
      <w:pPr>
        <w:tabs>
          <w:tab w:val="left" w:pos="425"/>
        </w:tabs>
        <w:ind w:left="425" w:firstLine="2095"/>
      </w:pPr>
      <w:rPr>
        <w:rFonts w:ascii="Symbol" w:hAnsi="Symbol" w:hint="default"/>
      </w:rPr>
    </w:lvl>
    <w:lvl w:ilvl="4">
      <w:start w:val="1"/>
      <w:numFmt w:val="lowerLetter"/>
      <w:lvlText w:val="%5."/>
      <w:lvlJc w:val="left"/>
      <w:pPr>
        <w:tabs>
          <w:tab w:val="left" w:pos="425"/>
        </w:tabs>
        <w:ind w:left="425" w:firstLine="2815"/>
      </w:pPr>
      <w:rPr>
        <w:rFonts w:ascii="Courier New" w:hAnsi="Courier New" w:hint="default"/>
      </w:rPr>
    </w:lvl>
    <w:lvl w:ilvl="5">
      <w:start w:val="1"/>
      <w:numFmt w:val="lowerRoman"/>
      <w:lvlText w:val="%6."/>
      <w:lvlJc w:val="left"/>
      <w:pPr>
        <w:tabs>
          <w:tab w:val="left" w:pos="425"/>
        </w:tabs>
        <w:ind w:left="425" w:firstLine="3535"/>
      </w:pPr>
      <w:rPr>
        <w:rFonts w:ascii="Wingdings" w:hAnsi="Wingdings" w:hint="default"/>
      </w:rPr>
    </w:lvl>
    <w:lvl w:ilvl="6">
      <w:start w:val="1"/>
      <w:numFmt w:val="decimal"/>
      <w:lvlText w:val="%7."/>
      <w:lvlJc w:val="left"/>
      <w:pPr>
        <w:tabs>
          <w:tab w:val="left" w:pos="425"/>
        </w:tabs>
        <w:ind w:left="425" w:firstLine="4255"/>
      </w:pPr>
      <w:rPr>
        <w:rFonts w:ascii="Symbol" w:hAnsi="Symbol" w:hint="default"/>
      </w:rPr>
    </w:lvl>
    <w:lvl w:ilvl="7">
      <w:start w:val="1"/>
      <w:numFmt w:val="lowerLetter"/>
      <w:lvlText w:val="%8."/>
      <w:lvlJc w:val="left"/>
      <w:pPr>
        <w:tabs>
          <w:tab w:val="left" w:pos="425"/>
        </w:tabs>
        <w:ind w:left="425" w:firstLine="4975"/>
      </w:pPr>
      <w:rPr>
        <w:rFonts w:ascii="Courier New" w:hAnsi="Courier New" w:hint="default"/>
      </w:rPr>
    </w:lvl>
    <w:lvl w:ilvl="8">
      <w:start w:val="1"/>
      <w:numFmt w:val="lowerRoman"/>
      <w:lvlText w:val="%9."/>
      <w:lvlJc w:val="left"/>
      <w:pPr>
        <w:tabs>
          <w:tab w:val="left" w:pos="425"/>
        </w:tabs>
        <w:ind w:left="425" w:firstLine="5695"/>
      </w:pPr>
      <w:rPr>
        <w:rFonts w:ascii="Wingdings" w:hAnsi="Wingdings" w:hint="default"/>
      </w:rPr>
    </w:lvl>
  </w:abstractNum>
  <w:abstractNum w:abstractNumId="2" w15:restartNumberingAfterBreak="0">
    <w:nsid w:val="08711B59"/>
    <w:multiLevelType w:val="singleLevel"/>
    <w:tmpl w:val="08711B59"/>
    <w:lvl w:ilvl="0">
      <w:start w:val="1"/>
      <w:numFmt w:val="bullet"/>
      <w:lvlText w:val="•"/>
      <w:lvlJc w:val="left"/>
      <w:pPr>
        <w:tabs>
          <w:tab w:val="left" w:pos="420"/>
        </w:tabs>
        <w:ind w:left="420" w:hanging="420"/>
      </w:pPr>
      <w:rPr>
        <w:rFonts w:ascii="SimSun" w:eastAsia="SimSun" w:hAnsi="SimSun" w:cs="SimSun" w:hint="default"/>
      </w:rPr>
    </w:lvl>
  </w:abstractNum>
  <w:abstractNum w:abstractNumId="3" w15:restartNumberingAfterBreak="0">
    <w:nsid w:val="1C7143AE"/>
    <w:multiLevelType w:val="multilevel"/>
    <w:tmpl w:val="1C7143AE"/>
    <w:lvl w:ilvl="0">
      <w:start w:val="1"/>
      <w:numFmt w:val="lowerLetter"/>
      <w:lvlText w:val="%1."/>
      <w:lvlJc w:val="left"/>
      <w:pPr>
        <w:tabs>
          <w:tab w:val="left" w:pos="1080"/>
        </w:tabs>
        <w:ind w:left="1080" w:hanging="540"/>
      </w:pPr>
      <w:rPr>
        <w:rFonts w:hint="default"/>
      </w:rPr>
    </w:lvl>
    <w:lvl w:ilvl="1">
      <w:start w:val="1"/>
      <w:numFmt w:val="lowerLetter"/>
      <w:lvlText w:val="%2."/>
      <w:lvlJc w:val="left"/>
      <w:pPr>
        <w:tabs>
          <w:tab w:val="left" w:pos="1620"/>
        </w:tabs>
        <w:ind w:left="1620" w:hanging="360"/>
      </w:pPr>
    </w:lvl>
    <w:lvl w:ilvl="2">
      <w:start w:val="1"/>
      <w:numFmt w:val="lowerRoman"/>
      <w:lvlText w:val="%3."/>
      <w:lvlJc w:val="right"/>
      <w:pPr>
        <w:tabs>
          <w:tab w:val="left" w:pos="2340"/>
        </w:tabs>
        <w:ind w:left="2340" w:hanging="180"/>
      </w:pPr>
    </w:lvl>
    <w:lvl w:ilvl="3">
      <w:start w:val="1"/>
      <w:numFmt w:val="decimal"/>
      <w:lvlText w:val="%4."/>
      <w:lvlJc w:val="left"/>
      <w:pPr>
        <w:tabs>
          <w:tab w:val="left" w:pos="3060"/>
        </w:tabs>
        <w:ind w:left="3060" w:hanging="360"/>
      </w:pPr>
    </w:lvl>
    <w:lvl w:ilvl="4">
      <w:start w:val="1"/>
      <w:numFmt w:val="lowerLetter"/>
      <w:lvlText w:val="%5."/>
      <w:lvlJc w:val="left"/>
      <w:pPr>
        <w:tabs>
          <w:tab w:val="left" w:pos="3780"/>
        </w:tabs>
        <w:ind w:left="3780" w:hanging="360"/>
      </w:pPr>
    </w:lvl>
    <w:lvl w:ilvl="5">
      <w:start w:val="1"/>
      <w:numFmt w:val="lowerRoman"/>
      <w:lvlText w:val="%6."/>
      <w:lvlJc w:val="right"/>
      <w:pPr>
        <w:tabs>
          <w:tab w:val="left" w:pos="4500"/>
        </w:tabs>
        <w:ind w:left="4500" w:hanging="180"/>
      </w:pPr>
    </w:lvl>
    <w:lvl w:ilvl="6">
      <w:start w:val="1"/>
      <w:numFmt w:val="decimal"/>
      <w:lvlText w:val="%7."/>
      <w:lvlJc w:val="left"/>
      <w:pPr>
        <w:tabs>
          <w:tab w:val="left" w:pos="5220"/>
        </w:tabs>
        <w:ind w:left="5220" w:hanging="360"/>
      </w:pPr>
    </w:lvl>
    <w:lvl w:ilvl="7">
      <w:start w:val="1"/>
      <w:numFmt w:val="lowerLetter"/>
      <w:lvlText w:val="%8."/>
      <w:lvlJc w:val="left"/>
      <w:pPr>
        <w:tabs>
          <w:tab w:val="left" w:pos="5940"/>
        </w:tabs>
        <w:ind w:left="5940" w:hanging="360"/>
      </w:pPr>
    </w:lvl>
    <w:lvl w:ilvl="8">
      <w:start w:val="1"/>
      <w:numFmt w:val="lowerRoman"/>
      <w:lvlText w:val="%9."/>
      <w:lvlJc w:val="right"/>
      <w:pPr>
        <w:tabs>
          <w:tab w:val="left" w:pos="6660"/>
        </w:tabs>
        <w:ind w:left="6660" w:hanging="180"/>
      </w:pPr>
    </w:lvl>
  </w:abstractNum>
  <w:abstractNum w:abstractNumId="4" w15:restartNumberingAfterBreak="0">
    <w:nsid w:val="1DE98F31"/>
    <w:multiLevelType w:val="singleLevel"/>
    <w:tmpl w:val="1DE98F31"/>
    <w:lvl w:ilvl="0">
      <w:start w:val="1"/>
      <w:numFmt w:val="decimal"/>
      <w:lvlText w:val="%1."/>
      <w:lvlJc w:val="left"/>
      <w:pPr>
        <w:tabs>
          <w:tab w:val="left" w:pos="425"/>
        </w:tabs>
        <w:ind w:left="425" w:hanging="425"/>
      </w:pPr>
      <w:rPr>
        <w:rFonts w:hint="default"/>
      </w:rPr>
    </w:lvl>
  </w:abstractNum>
  <w:abstractNum w:abstractNumId="5" w15:restartNumberingAfterBreak="0">
    <w:nsid w:val="2955B0F3"/>
    <w:multiLevelType w:val="singleLevel"/>
    <w:tmpl w:val="2955B0F3"/>
    <w:lvl w:ilvl="0">
      <w:start w:val="1"/>
      <w:numFmt w:val="decimal"/>
      <w:suff w:val="space"/>
      <w:lvlText w:val="(%1)"/>
      <w:lvlJc w:val="left"/>
    </w:lvl>
  </w:abstractNum>
  <w:abstractNum w:abstractNumId="6" w15:restartNumberingAfterBreak="0">
    <w:nsid w:val="42C69AE2"/>
    <w:multiLevelType w:val="singleLevel"/>
    <w:tmpl w:val="42C69AE2"/>
    <w:lvl w:ilvl="0">
      <w:start w:val="1"/>
      <w:numFmt w:val="decimal"/>
      <w:suff w:val="space"/>
      <w:lvlText w:val="(%1)"/>
      <w:lvlJc w:val="left"/>
    </w:lvl>
  </w:abstractNum>
  <w:abstractNum w:abstractNumId="7" w15:restartNumberingAfterBreak="0">
    <w:nsid w:val="498369AC"/>
    <w:multiLevelType w:val="singleLevel"/>
    <w:tmpl w:val="498369AC"/>
    <w:lvl w:ilvl="0">
      <w:start w:val="1"/>
      <w:numFmt w:val="decimal"/>
      <w:lvlText w:val="%1."/>
      <w:lvlJc w:val="left"/>
      <w:pPr>
        <w:tabs>
          <w:tab w:val="left" w:pos="425"/>
        </w:tabs>
        <w:ind w:left="425" w:hanging="425"/>
      </w:pPr>
      <w:rPr>
        <w:rFonts w:hint="default"/>
      </w:rPr>
    </w:lvl>
  </w:abstractNum>
  <w:abstractNum w:abstractNumId="8" w15:restartNumberingAfterBreak="0">
    <w:nsid w:val="4A4F101C"/>
    <w:multiLevelType w:val="singleLevel"/>
    <w:tmpl w:val="4A4F101C"/>
    <w:lvl w:ilvl="0">
      <w:start w:val="1"/>
      <w:numFmt w:val="upperLetter"/>
      <w:suff w:val="space"/>
      <w:lvlText w:val="%1."/>
      <w:lvlJc w:val="left"/>
    </w:lvl>
  </w:abstractNum>
  <w:abstractNum w:abstractNumId="9" w15:restartNumberingAfterBreak="0">
    <w:nsid w:val="5BAF0F4A"/>
    <w:multiLevelType w:val="multilevel"/>
    <w:tmpl w:val="5BAF0F4A"/>
    <w:lvl w:ilvl="0">
      <w:start w:val="1"/>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 w15:restartNumberingAfterBreak="0">
    <w:nsid w:val="6CC436FF"/>
    <w:multiLevelType w:val="singleLevel"/>
    <w:tmpl w:val="6CC436FF"/>
    <w:lvl w:ilvl="0">
      <w:start w:val="1"/>
      <w:numFmt w:val="decimal"/>
      <w:lvlText w:val="%1)"/>
      <w:lvlJc w:val="left"/>
      <w:pPr>
        <w:tabs>
          <w:tab w:val="left" w:pos="425"/>
        </w:tabs>
        <w:ind w:left="425" w:hanging="425"/>
      </w:pPr>
      <w:rPr>
        <w:rFonts w:hint="default"/>
      </w:rPr>
    </w:lvl>
  </w:abstractNum>
  <w:abstractNum w:abstractNumId="11" w15:restartNumberingAfterBreak="0">
    <w:nsid w:val="76742133"/>
    <w:multiLevelType w:val="multilevel"/>
    <w:tmpl w:val="7674213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Arial"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Arial"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Arial" w:hint="default"/>
      </w:rPr>
    </w:lvl>
    <w:lvl w:ilvl="8">
      <w:start w:val="1"/>
      <w:numFmt w:val="bullet"/>
      <w:lvlText w:val=""/>
      <w:lvlJc w:val="left"/>
      <w:pPr>
        <w:tabs>
          <w:tab w:val="left" w:pos="6480"/>
        </w:tabs>
        <w:ind w:left="6480" w:hanging="360"/>
      </w:pPr>
      <w:rPr>
        <w:rFonts w:ascii="Wingdings" w:hAnsi="Wingdings" w:hint="default"/>
      </w:rPr>
    </w:lvl>
  </w:abstractNum>
  <w:num w:numId="1" w16cid:durableId="2031950486">
    <w:abstractNumId w:val="9"/>
  </w:num>
  <w:num w:numId="2" w16cid:durableId="1399208098">
    <w:abstractNumId w:val="4"/>
  </w:num>
  <w:num w:numId="3" w16cid:durableId="1585187906">
    <w:abstractNumId w:val="6"/>
  </w:num>
  <w:num w:numId="4" w16cid:durableId="1024667651">
    <w:abstractNumId w:val="5"/>
  </w:num>
  <w:num w:numId="5" w16cid:durableId="160704494">
    <w:abstractNumId w:val="8"/>
  </w:num>
  <w:num w:numId="6" w16cid:durableId="2100783654">
    <w:abstractNumId w:val="7"/>
  </w:num>
  <w:num w:numId="7" w16cid:durableId="250235309">
    <w:abstractNumId w:val="10"/>
  </w:num>
  <w:num w:numId="8" w16cid:durableId="480738175">
    <w:abstractNumId w:val="2"/>
  </w:num>
  <w:num w:numId="9" w16cid:durableId="1068311312">
    <w:abstractNumId w:val="0"/>
  </w:num>
  <w:num w:numId="10" w16cid:durableId="1242174880">
    <w:abstractNumId w:val="3"/>
  </w:num>
  <w:num w:numId="11" w16cid:durableId="1904754241">
    <w:abstractNumId w:val="1"/>
  </w:num>
  <w:num w:numId="12" w16cid:durableId="6189546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88E4E58"/>
    <w:rsid w:val="000222A3"/>
    <w:rsid w:val="000564DC"/>
    <w:rsid w:val="000876D3"/>
    <w:rsid w:val="000B1E7A"/>
    <w:rsid w:val="001D28EB"/>
    <w:rsid w:val="001D6847"/>
    <w:rsid w:val="0022246B"/>
    <w:rsid w:val="002B4219"/>
    <w:rsid w:val="00341477"/>
    <w:rsid w:val="003424B8"/>
    <w:rsid w:val="003C4074"/>
    <w:rsid w:val="00483C88"/>
    <w:rsid w:val="005342C0"/>
    <w:rsid w:val="005B5177"/>
    <w:rsid w:val="005D3425"/>
    <w:rsid w:val="0069269F"/>
    <w:rsid w:val="00692B31"/>
    <w:rsid w:val="006F44D8"/>
    <w:rsid w:val="00764FD5"/>
    <w:rsid w:val="007C724C"/>
    <w:rsid w:val="0083579B"/>
    <w:rsid w:val="009053CC"/>
    <w:rsid w:val="00996D11"/>
    <w:rsid w:val="00A6660F"/>
    <w:rsid w:val="00AC31EA"/>
    <w:rsid w:val="00B2585A"/>
    <w:rsid w:val="00B263ED"/>
    <w:rsid w:val="00B33070"/>
    <w:rsid w:val="00B9692D"/>
    <w:rsid w:val="00BD5CE9"/>
    <w:rsid w:val="00C16E24"/>
    <w:rsid w:val="00C52199"/>
    <w:rsid w:val="00D57F90"/>
    <w:rsid w:val="00DB67D0"/>
    <w:rsid w:val="00DB778D"/>
    <w:rsid w:val="00E90985"/>
    <w:rsid w:val="00F22FC8"/>
    <w:rsid w:val="00FC5315"/>
    <w:rsid w:val="00FD3C4E"/>
    <w:rsid w:val="02A12FAD"/>
    <w:rsid w:val="05261D5E"/>
    <w:rsid w:val="054B5546"/>
    <w:rsid w:val="05C2556D"/>
    <w:rsid w:val="06B83457"/>
    <w:rsid w:val="06F76F01"/>
    <w:rsid w:val="070F5042"/>
    <w:rsid w:val="08255CB6"/>
    <w:rsid w:val="08817B2C"/>
    <w:rsid w:val="088E4E58"/>
    <w:rsid w:val="08B17BF0"/>
    <w:rsid w:val="09147681"/>
    <w:rsid w:val="0E283955"/>
    <w:rsid w:val="0F3D1FFA"/>
    <w:rsid w:val="105A15CC"/>
    <w:rsid w:val="12B21498"/>
    <w:rsid w:val="143037E2"/>
    <w:rsid w:val="163131BF"/>
    <w:rsid w:val="174713D2"/>
    <w:rsid w:val="1AE916BE"/>
    <w:rsid w:val="1B0D00A7"/>
    <w:rsid w:val="1B1B0ECB"/>
    <w:rsid w:val="1D682FCE"/>
    <w:rsid w:val="1FA12340"/>
    <w:rsid w:val="20995A49"/>
    <w:rsid w:val="228F31DD"/>
    <w:rsid w:val="22A21F61"/>
    <w:rsid w:val="22C734FB"/>
    <w:rsid w:val="2547516E"/>
    <w:rsid w:val="26BA0BD4"/>
    <w:rsid w:val="277358E0"/>
    <w:rsid w:val="27737BD1"/>
    <w:rsid w:val="278E1A61"/>
    <w:rsid w:val="27EA1787"/>
    <w:rsid w:val="2C165796"/>
    <w:rsid w:val="2E0A414A"/>
    <w:rsid w:val="2EB70A5D"/>
    <w:rsid w:val="2EF9001C"/>
    <w:rsid w:val="2EFE341B"/>
    <w:rsid w:val="2FCB5964"/>
    <w:rsid w:val="30611B6D"/>
    <w:rsid w:val="31057EA5"/>
    <w:rsid w:val="3194016F"/>
    <w:rsid w:val="334602FE"/>
    <w:rsid w:val="34B55A96"/>
    <w:rsid w:val="35266DB6"/>
    <w:rsid w:val="37C41711"/>
    <w:rsid w:val="38153883"/>
    <w:rsid w:val="38B33EA6"/>
    <w:rsid w:val="393C4EA2"/>
    <w:rsid w:val="3A931C20"/>
    <w:rsid w:val="3AC91A82"/>
    <w:rsid w:val="3BC6166E"/>
    <w:rsid w:val="3DA66E40"/>
    <w:rsid w:val="3DD8767C"/>
    <w:rsid w:val="3DE57C80"/>
    <w:rsid w:val="3E900B4A"/>
    <w:rsid w:val="3ED160CC"/>
    <w:rsid w:val="3EE93736"/>
    <w:rsid w:val="3F1C6199"/>
    <w:rsid w:val="402136E4"/>
    <w:rsid w:val="40DE6D31"/>
    <w:rsid w:val="41F86799"/>
    <w:rsid w:val="43BA39AB"/>
    <w:rsid w:val="46C34C00"/>
    <w:rsid w:val="48983D7F"/>
    <w:rsid w:val="4CAD5CC7"/>
    <w:rsid w:val="4EEB3847"/>
    <w:rsid w:val="4F544F91"/>
    <w:rsid w:val="50787682"/>
    <w:rsid w:val="51FF0996"/>
    <w:rsid w:val="543F5ADB"/>
    <w:rsid w:val="549E2966"/>
    <w:rsid w:val="552E1715"/>
    <w:rsid w:val="57DB6B22"/>
    <w:rsid w:val="58D7521F"/>
    <w:rsid w:val="58E67824"/>
    <w:rsid w:val="59F72EC2"/>
    <w:rsid w:val="5A260EC9"/>
    <w:rsid w:val="5C9C1E97"/>
    <w:rsid w:val="5D5B360B"/>
    <w:rsid w:val="5E542B7B"/>
    <w:rsid w:val="60821545"/>
    <w:rsid w:val="61614455"/>
    <w:rsid w:val="62297137"/>
    <w:rsid w:val="627C6FF7"/>
    <w:rsid w:val="62890881"/>
    <w:rsid w:val="646B1FDE"/>
    <w:rsid w:val="65AA4D3A"/>
    <w:rsid w:val="65C82364"/>
    <w:rsid w:val="66390518"/>
    <w:rsid w:val="66810482"/>
    <w:rsid w:val="67907F1D"/>
    <w:rsid w:val="680229AF"/>
    <w:rsid w:val="69151573"/>
    <w:rsid w:val="6A9B3CBD"/>
    <w:rsid w:val="6B9D0890"/>
    <w:rsid w:val="6CAD3DBE"/>
    <w:rsid w:val="72EF349C"/>
    <w:rsid w:val="736C6451"/>
    <w:rsid w:val="740709A5"/>
    <w:rsid w:val="79A25BD4"/>
    <w:rsid w:val="7B13382D"/>
    <w:rsid w:val="7B5E74D5"/>
    <w:rsid w:val="7BC1159C"/>
    <w:rsid w:val="7BD52D1C"/>
    <w:rsid w:val="7C300067"/>
    <w:rsid w:val="7CDD2F54"/>
    <w:rsid w:val="7DF03916"/>
    <w:rsid w:val="7F4C43EF"/>
    <w:rsid w:val="7FC60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52A729"/>
  <w15:docId w15:val="{5A0CE1F4-67AE-4557-BC86-13CDE1952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Block Text"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heme="minorHAnsi" w:eastAsiaTheme="minorEastAsia" w:hAnsiTheme="minorHAnsi" w:cstheme="minorBidi"/>
      <w:lang w:eastAsia="zh-CN"/>
    </w:rPr>
  </w:style>
  <w:style w:type="paragraph" w:styleId="Heading1">
    <w:name w:val="heading 1"/>
    <w:basedOn w:val="Normal"/>
    <w:next w:val="Normal"/>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pPr>
      <w:widowControl w:val="0"/>
      <w:tabs>
        <w:tab w:val="left" w:pos="540"/>
      </w:tabs>
      <w:spacing w:line="240" w:lineRule="exact"/>
      <w:ind w:left="540" w:rightChars="-2" w:right="-5" w:hanging="540"/>
      <w:jc w:val="both"/>
    </w:pPr>
    <w:rPr>
      <w:rFonts w:ascii="Arial" w:eastAsia="PMingLiU" w:hAnsi="Arial" w:cs="Arial"/>
      <w:bCs/>
      <w:kern w:val="2"/>
      <w:sz w:val="22"/>
      <w:szCs w:val="28"/>
      <w:lang w:eastAsia="zh-TW"/>
    </w:rPr>
  </w:style>
  <w:style w:type="character" w:styleId="CommentReference">
    <w:name w:val="annotation reference"/>
    <w:basedOn w:val="DefaultParagraphFont"/>
    <w:qFormat/>
    <w:rPr>
      <w:sz w:val="16"/>
      <w:szCs w:val="16"/>
    </w:rPr>
  </w:style>
  <w:style w:type="paragraph" w:styleId="CommentText">
    <w:name w:val="annotation text"/>
    <w:basedOn w:val="Normal"/>
    <w:link w:val="CommentTextChar"/>
    <w:qFormat/>
  </w:style>
  <w:style w:type="paragraph" w:styleId="CommentSubject">
    <w:name w:val="annotation subject"/>
    <w:basedOn w:val="CommentText"/>
    <w:next w:val="CommentText"/>
    <w:link w:val="CommentSubjectChar"/>
    <w:qFormat/>
    <w:rPr>
      <w:b/>
      <w:bCs/>
    </w:rPr>
  </w:style>
  <w:style w:type="character" w:styleId="Emphasis">
    <w:name w:val="Emphasis"/>
    <w:basedOn w:val="DefaultParagraphFont"/>
    <w:qFormat/>
    <w:rPr>
      <w:i/>
      <w:iCs/>
    </w:rPr>
  </w:style>
  <w:style w:type="paragraph" w:styleId="Footer">
    <w:name w:val="footer"/>
    <w:basedOn w:val="Normal"/>
    <w:qFormat/>
    <w:pPr>
      <w:tabs>
        <w:tab w:val="center" w:pos="4153"/>
        <w:tab w:val="right" w:pos="8306"/>
      </w:tabs>
      <w:snapToGrid w:val="0"/>
    </w:pPr>
    <w:rPr>
      <w:sz w:val="18"/>
      <w:szCs w:val="18"/>
    </w:rPr>
  </w:style>
  <w:style w:type="paragraph" w:styleId="Header">
    <w:name w:val="header"/>
    <w:basedOn w:val="Normal"/>
    <w:autoRedefine/>
    <w:qFormat/>
    <w:pPr>
      <w:tabs>
        <w:tab w:val="center" w:pos="4153"/>
        <w:tab w:val="right" w:pos="8306"/>
      </w:tabs>
      <w:snapToGrid w:val="0"/>
    </w:pPr>
    <w:rPr>
      <w:sz w:val="18"/>
      <w:szCs w:val="18"/>
    </w:rPr>
  </w:style>
  <w:style w:type="character" w:styleId="Hyperlink">
    <w:name w:val="Hyperlink"/>
    <w:basedOn w:val="DefaultParagraphFont"/>
    <w:autoRedefine/>
    <w:qFormat/>
    <w:rPr>
      <w:color w:val="0000FF"/>
      <w:u w:val="single"/>
    </w:rPr>
  </w:style>
  <w:style w:type="paragraph" w:styleId="NormalWeb">
    <w:name w:val="Normal (Web)"/>
    <w:autoRedefine/>
    <w:qFormat/>
    <w:pPr>
      <w:spacing w:beforeAutospacing="1" w:afterAutospacing="1"/>
    </w:pPr>
    <w:rPr>
      <w:sz w:val="24"/>
      <w:szCs w:val="24"/>
      <w:lang w:eastAsia="zh-CN"/>
    </w:rPr>
  </w:style>
  <w:style w:type="character" w:styleId="Strong">
    <w:name w:val="Strong"/>
    <w:basedOn w:val="DefaultParagraphFont"/>
    <w:qFormat/>
    <w:rPr>
      <w:b/>
      <w:bCs/>
    </w:rPr>
  </w:style>
  <w:style w:type="paragraph" w:customStyle="1" w:styleId="HeaderInfo">
    <w:name w:val="HeaderInfo"/>
    <w:autoRedefine/>
    <w:qFormat/>
    <w:rPr>
      <w:rFonts w:ascii="Arial" w:eastAsia="PMingLiU" w:hAnsi="Arial"/>
      <w:sz w:val="22"/>
      <w:lang w:val="en-GB"/>
    </w:rPr>
  </w:style>
  <w:style w:type="paragraph" w:styleId="ListParagraph">
    <w:name w:val="List Paragraph"/>
    <w:basedOn w:val="Normal"/>
    <w:autoRedefine/>
    <w:uiPriority w:val="34"/>
    <w:qFormat/>
    <w:pPr>
      <w:ind w:left="720"/>
      <w:contextualSpacing/>
    </w:pPr>
  </w:style>
  <w:style w:type="paragraph" w:customStyle="1" w:styleId="Default">
    <w:name w:val="Default"/>
    <w:qFormat/>
    <w:pPr>
      <w:autoSpaceDE w:val="0"/>
      <w:autoSpaceDN w:val="0"/>
      <w:adjustRightInd w:val="0"/>
    </w:pPr>
    <w:rPr>
      <w:rFonts w:ascii="Cambria" w:eastAsia="PMingLiU" w:hAnsi="Cambria" w:cs="Cambria"/>
      <w:color w:val="000000"/>
      <w:sz w:val="24"/>
      <w:szCs w:val="24"/>
      <w:lang w:eastAsia="zh-CN"/>
    </w:rPr>
  </w:style>
  <w:style w:type="paragraph" w:customStyle="1" w:styleId="TC1">
    <w:name w:val="TC1"/>
    <w:basedOn w:val="Normal"/>
    <w:uiPriority w:val="99"/>
    <w:qFormat/>
    <w:pPr>
      <w:contextualSpacing/>
    </w:pPr>
    <w:rPr>
      <w:rFonts w:ascii="Times New Roman" w:eastAsia="PMingLiU" w:hAnsi="Times New Roman"/>
      <w:szCs w:val="21"/>
      <w:lang w:val="en-GB" w:eastAsia="en-US"/>
    </w:rPr>
  </w:style>
  <w:style w:type="character" w:customStyle="1" w:styleId="CommentTextChar">
    <w:name w:val="Comment Text Char"/>
    <w:basedOn w:val="DefaultParagraphFont"/>
    <w:link w:val="CommentText"/>
    <w:qFormat/>
    <w:rPr>
      <w:rFonts w:asciiTheme="minorHAnsi" w:eastAsiaTheme="minorEastAsia" w:hAnsiTheme="minorHAnsi" w:cstheme="minorBidi"/>
      <w:lang w:val="en-US" w:eastAsia="zh-CN"/>
    </w:rPr>
  </w:style>
  <w:style w:type="character" w:customStyle="1" w:styleId="CommentSubjectChar">
    <w:name w:val="Comment Subject Char"/>
    <w:basedOn w:val="CommentTextChar"/>
    <w:link w:val="CommentSubject"/>
    <w:qFormat/>
    <w:rPr>
      <w:rFonts w:asciiTheme="minorHAnsi" w:eastAsiaTheme="minorEastAsia" w:hAnsiTheme="minorHAnsi" w:cstheme="minorBidi"/>
      <w:b/>
      <w:bCs/>
      <w:lang w:val="en-US" w:eastAsia="zh-CN"/>
    </w:rPr>
  </w:style>
  <w:style w:type="paragraph" w:styleId="Revision">
    <w:name w:val="Revision"/>
    <w:hidden/>
    <w:uiPriority w:val="99"/>
    <w:unhideWhenUsed/>
    <w:rsid w:val="0069269F"/>
    <w:rPr>
      <w:rFonts w:asciiTheme="minorHAnsi" w:eastAsiaTheme="minorEastAsia" w:hAnsiTheme="minorHAnsi" w:cstheme="minorBid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unu.edu/macau/abou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2511</Words>
  <Characters>14313</Characters>
  <Application>Microsoft Office Word</Application>
  <DocSecurity>0</DocSecurity>
  <Lines>119</Lines>
  <Paragraphs>33</Paragraphs>
  <ScaleCrop>false</ScaleCrop>
  <Company/>
  <LinksUpToDate>false</LinksUpToDate>
  <CharactersWithSpaces>16791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Jinping LIU</dc:creator>
  <cp:lastModifiedBy>Denise</cp:lastModifiedBy>
  <cp:revision>2</cp:revision>
  <cp:lastPrinted>2025-01-09T08:12:00Z</cp:lastPrinted>
  <dcterms:created xsi:type="dcterms:W3CDTF">2025-02-28T02:36:00Z</dcterms:created>
  <dcterms:modified xsi:type="dcterms:W3CDTF">2025-02-28T02:36:00Z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DDFBE650F2D748EAB85A43D7A536795E_13</vt:lpwstr>
  </property>
</Properties>
</file>