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7F7B3F" w14:textId="77777777" w:rsidR="00BC71E7" w:rsidRPr="00755F15" w:rsidRDefault="00BC71E7" w:rsidP="00BC71E7">
      <w:pPr>
        <w:ind w:left="-1440" w:right="-634"/>
        <w:rPr>
          <w:rFonts w:ascii="Arial" w:hAnsi="Arial" w:cs="Arial"/>
          <w:b/>
          <w:lang w:val="en-GB"/>
        </w:rPr>
      </w:pPr>
      <w:bookmarkStart w:id="0" w:name="_GoBack"/>
    </w:p>
    <w:bookmarkEnd w:id="0"/>
    <w:p w14:paraId="332512F1" w14:textId="77777777" w:rsidR="008E2EBC" w:rsidRPr="00755F15" w:rsidRDefault="008E2EBC" w:rsidP="00755F15">
      <w:pPr>
        <w:ind w:right="-634"/>
        <w:jc w:val="both"/>
        <w:rPr>
          <w:rFonts w:ascii="Arial" w:hAnsi="Arial" w:cs="Arial"/>
        </w:rPr>
      </w:pPr>
    </w:p>
    <w:p w14:paraId="30546D03" w14:textId="5FB55B19" w:rsidR="008E2EBC" w:rsidRPr="00755F15" w:rsidRDefault="008E2EBC" w:rsidP="008E2EBC">
      <w:pPr>
        <w:keepNext/>
        <w:widowControl w:val="0"/>
        <w:wordWrap w:val="0"/>
        <w:autoSpaceDE w:val="0"/>
        <w:autoSpaceDN w:val="0"/>
        <w:outlineLvl w:val="0"/>
        <w:rPr>
          <w:rFonts w:ascii="Arial" w:eastAsiaTheme="majorEastAsia" w:hAnsi="Arial" w:cs="Arial"/>
          <w:b/>
          <w:kern w:val="2"/>
          <w:sz w:val="28"/>
          <w:szCs w:val="28"/>
          <w:lang w:eastAsia="ko-KR"/>
        </w:rPr>
      </w:pPr>
      <w:r w:rsidRPr="00755F15">
        <w:rPr>
          <w:rFonts w:ascii="Arial" w:eastAsiaTheme="majorEastAsia" w:hAnsi="Arial" w:cs="Arial"/>
          <w:b/>
          <w:kern w:val="2"/>
          <w:sz w:val="28"/>
          <w:szCs w:val="28"/>
          <w:lang w:eastAsia="ko-KR"/>
        </w:rPr>
        <w:t xml:space="preserve">APPENDIX </w:t>
      </w:r>
      <w:r w:rsidR="00755F15" w:rsidRPr="00755F15">
        <w:rPr>
          <w:rFonts w:ascii="Arial" w:eastAsiaTheme="majorEastAsia" w:hAnsi="Arial" w:cs="Arial"/>
          <w:b/>
          <w:kern w:val="2"/>
          <w:sz w:val="28"/>
          <w:szCs w:val="28"/>
          <w:lang w:eastAsia="ko-KR"/>
        </w:rPr>
        <w:t>XXVI</w:t>
      </w:r>
      <w:r w:rsidRPr="00755F15">
        <w:rPr>
          <w:rFonts w:ascii="Arial" w:eastAsiaTheme="majorEastAsia" w:hAnsi="Arial" w:cs="Arial"/>
          <w:b/>
          <w:kern w:val="2"/>
          <w:sz w:val="28"/>
          <w:szCs w:val="28"/>
          <w:lang w:eastAsia="ko-KR"/>
        </w:rPr>
        <w:t xml:space="preserve">  </w:t>
      </w:r>
    </w:p>
    <w:p w14:paraId="31E6CE2E" w14:textId="77777777" w:rsidR="008E2EBC" w:rsidRPr="00755F15" w:rsidRDefault="008E2EBC" w:rsidP="00BC71E7">
      <w:pPr>
        <w:ind w:left="-1440" w:right="-634"/>
        <w:rPr>
          <w:rFonts w:ascii="Arial" w:hAnsi="Arial" w:cs="Arial"/>
        </w:rPr>
      </w:pPr>
    </w:p>
    <w:p w14:paraId="7E807620" w14:textId="77777777" w:rsidR="00483335" w:rsidRPr="00755F15" w:rsidRDefault="00483335" w:rsidP="006A69C8">
      <w:pPr>
        <w:adjustRightInd w:val="0"/>
        <w:snapToGrid w:val="0"/>
        <w:rPr>
          <w:rFonts w:ascii="Arial" w:hAnsi="Arial" w:cs="Arial"/>
        </w:rPr>
      </w:pPr>
      <w:r w:rsidRPr="00755F15">
        <w:rPr>
          <w:rFonts w:ascii="Arial" w:hAnsi="Arial" w:cs="Arial"/>
        </w:rPr>
        <w:t>1</w:t>
      </w:r>
      <w:r w:rsidR="00C906BB" w:rsidRPr="00755F15">
        <w:rPr>
          <w:rFonts w:ascii="Arial" w:hAnsi="Arial" w:cs="Arial"/>
        </w:rPr>
        <w:t>5</w:t>
      </w:r>
      <w:r w:rsidRPr="00755F15">
        <w:rPr>
          <w:rFonts w:ascii="Arial" w:hAnsi="Arial" w:cs="Arial"/>
        </w:rPr>
        <w:t xml:space="preserve">. Support Required for the Committee </w:t>
      </w:r>
      <w:proofErr w:type="spellStart"/>
      <w:r w:rsidRPr="00755F15">
        <w:rPr>
          <w:rFonts w:ascii="Arial" w:hAnsi="Arial" w:cs="Arial"/>
        </w:rPr>
        <w:t>Programme</w:t>
      </w:r>
      <w:proofErr w:type="spellEnd"/>
    </w:p>
    <w:p w14:paraId="2140AB67" w14:textId="77777777" w:rsidR="006A69C8" w:rsidRPr="00755F15" w:rsidRDefault="00483335" w:rsidP="006A69C8">
      <w:pPr>
        <w:adjustRightInd w:val="0"/>
        <w:snapToGrid w:val="0"/>
        <w:rPr>
          <w:rFonts w:ascii="Arial" w:hAnsi="Arial" w:cs="Arial"/>
        </w:rPr>
      </w:pPr>
      <w:r w:rsidRPr="00755F15">
        <w:rPr>
          <w:rFonts w:ascii="Arial" w:hAnsi="Arial" w:cs="Arial"/>
        </w:rPr>
        <w:t>Typhoon Committee Trust Fund (INF/TC.</w:t>
      </w:r>
      <w:r w:rsidR="00C906BB" w:rsidRPr="00755F15">
        <w:rPr>
          <w:rFonts w:ascii="Arial" w:hAnsi="Arial" w:cs="Arial"/>
        </w:rPr>
        <w:t>50</w:t>
      </w:r>
      <w:r w:rsidRPr="00755F15">
        <w:rPr>
          <w:rFonts w:ascii="Arial" w:hAnsi="Arial" w:cs="Arial"/>
        </w:rPr>
        <w:t>/1</w:t>
      </w:r>
      <w:r w:rsidR="00C906BB" w:rsidRPr="00755F15">
        <w:rPr>
          <w:rFonts w:ascii="Arial" w:hAnsi="Arial" w:cs="Arial"/>
        </w:rPr>
        <w:t>5/</w:t>
      </w:r>
      <w:r w:rsidR="004A36CD" w:rsidRPr="00755F15">
        <w:rPr>
          <w:rFonts w:ascii="Arial" w:hAnsi="Arial" w:cs="Arial"/>
        </w:rPr>
        <w:t>3.2</w:t>
      </w:r>
      <w:r w:rsidRPr="00755F15">
        <w:rPr>
          <w:rFonts w:ascii="Arial" w:hAnsi="Arial" w:cs="Arial"/>
        </w:rPr>
        <w:t>)</w:t>
      </w:r>
    </w:p>
    <w:p w14:paraId="48FC58F9" w14:textId="75A1AC19" w:rsidR="00ED3D4C" w:rsidRPr="00755F15" w:rsidRDefault="00B948A7" w:rsidP="00B948A7">
      <w:pPr>
        <w:adjustRightInd w:val="0"/>
        <w:snapToGrid w:val="0"/>
        <w:rPr>
          <w:rFonts w:ascii="Arial" w:hAnsi="Arial" w:cs="Arial"/>
        </w:rPr>
      </w:pPr>
      <w:r w:rsidRPr="00755F15">
        <w:rPr>
          <w:rFonts w:ascii="Arial" w:hAnsi="Arial" w:cs="Arial"/>
        </w:rPr>
        <w:t xml:space="preserve">Finalized </w:t>
      </w:r>
      <w:r w:rsidR="00015367" w:rsidRPr="00755F15">
        <w:rPr>
          <w:rFonts w:ascii="Arial" w:hAnsi="Arial" w:cs="Arial"/>
        </w:rPr>
        <w:t>Summary of Income and Expenditure from 1 January to 31 December</w:t>
      </w:r>
      <w:r w:rsidR="00337376" w:rsidRPr="00755F15">
        <w:rPr>
          <w:rFonts w:ascii="Arial" w:hAnsi="Arial" w:cs="Arial"/>
        </w:rPr>
        <w:t>, 201</w:t>
      </w:r>
      <w:r w:rsidR="004E1325" w:rsidRPr="00755F15">
        <w:rPr>
          <w:rFonts w:ascii="Arial" w:hAnsi="Arial" w:cs="Arial"/>
        </w:rPr>
        <w:t>5</w:t>
      </w:r>
      <w:r w:rsidR="00015367" w:rsidRPr="00755F15">
        <w:rPr>
          <w:rFonts w:ascii="Arial" w:hAnsi="Arial" w:cs="Arial"/>
        </w:rPr>
        <w:t xml:space="preserve"> related to the</w:t>
      </w:r>
      <w:r w:rsidR="00337376" w:rsidRPr="00755F15">
        <w:rPr>
          <w:rFonts w:ascii="Arial" w:hAnsi="Arial" w:cs="Arial"/>
        </w:rPr>
        <w:t xml:space="preserve"> execution of the Work Plan 201</w:t>
      </w:r>
      <w:r w:rsidR="002C0FB1" w:rsidRPr="00755F15">
        <w:rPr>
          <w:rFonts w:ascii="Arial" w:hAnsi="Arial" w:cs="Arial"/>
        </w:rPr>
        <w:t>5</w:t>
      </w:r>
      <w:r w:rsidR="00015367" w:rsidRPr="00755F15">
        <w:rPr>
          <w:rFonts w:ascii="Arial" w:hAnsi="Arial" w:cs="Arial"/>
        </w:rPr>
        <w:t xml:space="preserve"> by TCS</w:t>
      </w:r>
      <w:r w:rsidR="00AD65EA" w:rsidRPr="00755F15">
        <w:rPr>
          <w:rFonts w:ascii="Arial" w:hAnsi="Arial" w:cs="Arial"/>
          <w:noProof/>
          <w:lang w:eastAsia="zh-TW"/>
        </w:rPr>
        <w:drawing>
          <wp:inline distT="0" distB="0" distL="0" distR="0" wp14:anchorId="6F6E531D" wp14:editId="7677746C">
            <wp:extent cx="5772980" cy="718495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1672" cy="7208216"/>
                    </a:xfrm>
                    <a:prstGeom prst="rect">
                      <a:avLst/>
                    </a:prstGeom>
                    <a:noFill/>
                    <a:ln>
                      <a:noFill/>
                    </a:ln>
                  </pic:spPr>
                </pic:pic>
              </a:graphicData>
            </a:graphic>
          </wp:inline>
        </w:drawing>
      </w:r>
    </w:p>
    <w:p w14:paraId="13EE1809" w14:textId="77777777" w:rsidR="00AD65EA" w:rsidRPr="00755F15" w:rsidRDefault="00AD65EA" w:rsidP="00AD65EA">
      <w:pPr>
        <w:adjustRightInd w:val="0"/>
        <w:snapToGrid w:val="0"/>
        <w:ind w:left="450"/>
        <w:jc w:val="left"/>
        <w:rPr>
          <w:rFonts w:ascii="Arial" w:hAnsi="Arial" w:cs="Arial"/>
          <w:noProof/>
          <w:sz w:val="18"/>
          <w:lang w:val="en-GB"/>
        </w:rPr>
      </w:pPr>
      <w:r w:rsidRPr="00755F15">
        <w:rPr>
          <w:rFonts w:ascii="Arial" w:hAnsi="Arial" w:cs="Arial"/>
          <w:noProof/>
          <w:sz w:val="18"/>
          <w:lang w:val="en-GB"/>
        </w:rPr>
        <w:t xml:space="preserve">  # Directly handled by WMO</w:t>
      </w:r>
    </w:p>
    <w:p w14:paraId="301CC100" w14:textId="77777777" w:rsidR="00AD65EA" w:rsidRPr="00755F15" w:rsidRDefault="00AD65EA" w:rsidP="00AD65EA">
      <w:pPr>
        <w:adjustRightInd w:val="0"/>
        <w:snapToGrid w:val="0"/>
        <w:ind w:left="450" w:right="446"/>
        <w:jc w:val="both"/>
        <w:rPr>
          <w:rFonts w:ascii="Arial" w:hAnsi="Arial" w:cs="Arial"/>
          <w:noProof/>
          <w:sz w:val="18"/>
          <w:lang w:val="en-GB"/>
        </w:rPr>
      </w:pPr>
      <w:r w:rsidRPr="00755F15">
        <w:rPr>
          <w:rFonts w:ascii="Arial" w:hAnsi="Arial" w:cs="Arial"/>
          <w:noProof/>
          <w:sz w:val="18"/>
          <w:lang w:val="en-GB"/>
        </w:rPr>
        <w:t xml:space="preserve">## Unspent amount remiitted to WMO include the Organization cost of the Public Forum (Side event) held in the Third UN World Conference on Disaster Risk Reduction, Sendai, Japan, 14 to 18 March 2015 was paid in advance using TCTF of 2014 as approved by WMO.  Expenditure amount has been reflected in the TCTF Budget 2015 for USD782.68.  Total remitted amount to WMO was USD31,989.84 (USD31,207.16+USD782.68)  </w:t>
      </w:r>
    </w:p>
    <w:p w14:paraId="5A24EB86" w14:textId="77777777" w:rsidR="007345F6" w:rsidRPr="00755F15" w:rsidRDefault="007345F6" w:rsidP="00AD65EA">
      <w:pPr>
        <w:adjustRightInd w:val="0"/>
        <w:snapToGrid w:val="0"/>
        <w:ind w:right="446"/>
        <w:jc w:val="both"/>
        <w:rPr>
          <w:rFonts w:ascii="Arial" w:hAnsi="Arial" w:cs="Arial"/>
          <w:noProof/>
          <w:sz w:val="18"/>
          <w:lang w:val="en-GB"/>
        </w:rPr>
      </w:pPr>
    </w:p>
    <w:p w14:paraId="556C5B4E" w14:textId="77777777" w:rsidR="007345F6" w:rsidRPr="00755F15" w:rsidRDefault="007345F6" w:rsidP="00B948A7">
      <w:pPr>
        <w:adjustRightInd w:val="0"/>
        <w:snapToGrid w:val="0"/>
        <w:rPr>
          <w:rFonts w:ascii="Arial" w:hAnsi="Arial" w:cs="Arial"/>
          <w:noProof/>
          <w:lang w:val="en-GB"/>
        </w:rPr>
      </w:pPr>
    </w:p>
    <w:p w14:paraId="38F7A131" w14:textId="77777777" w:rsidR="00C906BB" w:rsidRPr="00755F15" w:rsidRDefault="00C906BB" w:rsidP="00B948A7">
      <w:pPr>
        <w:adjustRightInd w:val="0"/>
        <w:snapToGrid w:val="0"/>
        <w:rPr>
          <w:rFonts w:ascii="Arial" w:hAnsi="Arial" w:cs="Arial"/>
          <w:noProof/>
          <w:lang w:val="en-GB"/>
        </w:rPr>
      </w:pPr>
    </w:p>
    <w:p w14:paraId="0EEFB72F" w14:textId="77777777" w:rsidR="002C0FB1" w:rsidRPr="00755F15" w:rsidRDefault="002C0FB1" w:rsidP="002C0FB1">
      <w:pPr>
        <w:adjustRightInd w:val="0"/>
        <w:snapToGrid w:val="0"/>
        <w:rPr>
          <w:rFonts w:ascii="Arial" w:hAnsi="Arial" w:cs="Arial"/>
        </w:rPr>
      </w:pPr>
      <w:r w:rsidRPr="00755F15">
        <w:rPr>
          <w:rFonts w:ascii="Arial" w:hAnsi="Arial" w:cs="Arial"/>
        </w:rPr>
        <w:lastRenderedPageBreak/>
        <w:t>Typhoon Committee Trust Fund (INF/TC.50/15.</w:t>
      </w:r>
      <w:r w:rsidRPr="00755F15">
        <w:rPr>
          <w:rFonts w:ascii="Arial" w:eastAsia="新細明體" w:hAnsi="Arial" w:cs="Arial"/>
          <w:lang w:eastAsia="zh-TW"/>
        </w:rPr>
        <w:t>3.2</w:t>
      </w:r>
      <w:r w:rsidRPr="00755F15">
        <w:rPr>
          <w:rFonts w:ascii="Arial" w:hAnsi="Arial" w:cs="Arial"/>
        </w:rPr>
        <w:t>)</w:t>
      </w:r>
    </w:p>
    <w:p w14:paraId="1D534C82" w14:textId="0667A808" w:rsidR="002C0FB1" w:rsidRPr="00755F15" w:rsidRDefault="002201A7" w:rsidP="002C0FB1">
      <w:pPr>
        <w:adjustRightInd w:val="0"/>
        <w:snapToGrid w:val="0"/>
        <w:rPr>
          <w:rFonts w:ascii="Arial" w:hAnsi="Arial" w:cs="Arial"/>
        </w:rPr>
      </w:pPr>
      <w:r w:rsidRPr="00755F15">
        <w:rPr>
          <w:rFonts w:ascii="Arial" w:hAnsi="Arial" w:cs="Arial"/>
        </w:rPr>
        <w:t>Finalized</w:t>
      </w:r>
      <w:r w:rsidR="002C0FB1" w:rsidRPr="00755F15">
        <w:rPr>
          <w:rFonts w:ascii="Arial" w:hAnsi="Arial" w:cs="Arial"/>
        </w:rPr>
        <w:t xml:space="preserve"> Summary of Income and Expenditure from 1 January to 31 December, 2016 related to the execution of the Work Plan 2016 by TCS</w:t>
      </w:r>
    </w:p>
    <w:p w14:paraId="51A5F294" w14:textId="2C2D9B18" w:rsidR="0094705A" w:rsidRPr="00755F15" w:rsidRDefault="0094705A" w:rsidP="002C0FB1">
      <w:pPr>
        <w:adjustRightInd w:val="0"/>
        <w:snapToGrid w:val="0"/>
        <w:rPr>
          <w:rFonts w:ascii="Arial" w:hAnsi="Arial" w:cs="Arial"/>
        </w:rPr>
      </w:pPr>
      <w:r w:rsidRPr="00755F15">
        <w:rPr>
          <w:rFonts w:ascii="Arial" w:hAnsi="Arial" w:cs="Arial"/>
          <w:noProof/>
          <w:lang w:eastAsia="zh-TW"/>
        </w:rPr>
        <w:drawing>
          <wp:inline distT="0" distB="0" distL="0" distR="0" wp14:anchorId="2C14A3B8" wp14:editId="0079995F">
            <wp:extent cx="6455410" cy="855386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5410" cy="8553863"/>
                    </a:xfrm>
                    <a:prstGeom prst="rect">
                      <a:avLst/>
                    </a:prstGeom>
                    <a:noFill/>
                    <a:ln>
                      <a:noFill/>
                    </a:ln>
                  </pic:spPr>
                </pic:pic>
              </a:graphicData>
            </a:graphic>
          </wp:inline>
        </w:drawing>
      </w:r>
    </w:p>
    <w:p w14:paraId="7A737BEA" w14:textId="52CD7758" w:rsidR="002C0FB1" w:rsidRPr="00755F15" w:rsidRDefault="002C0FB1" w:rsidP="007345F6">
      <w:pPr>
        <w:tabs>
          <w:tab w:val="left" w:pos="1222"/>
          <w:tab w:val="center" w:pos="5083"/>
        </w:tabs>
        <w:adjustRightInd w:val="0"/>
        <w:snapToGrid w:val="0"/>
        <w:rPr>
          <w:rFonts w:ascii="Arial" w:hAnsi="Arial" w:cs="Arial"/>
        </w:rPr>
      </w:pPr>
    </w:p>
    <w:p w14:paraId="3B65C6A8" w14:textId="77777777" w:rsidR="00AD65EA" w:rsidRPr="00755F15" w:rsidRDefault="00AD65EA" w:rsidP="00AD65EA">
      <w:pPr>
        <w:adjustRightInd w:val="0"/>
        <w:snapToGrid w:val="0"/>
        <w:jc w:val="left"/>
        <w:rPr>
          <w:rFonts w:ascii="Arial" w:hAnsi="Arial" w:cs="Arial"/>
          <w:sz w:val="18"/>
          <w:lang w:val="en-GB"/>
        </w:rPr>
      </w:pPr>
      <w:r w:rsidRPr="00755F15">
        <w:rPr>
          <w:rFonts w:ascii="Arial" w:hAnsi="Arial" w:cs="Arial"/>
          <w:sz w:val="18"/>
          <w:lang w:val="en-GB"/>
        </w:rPr>
        <w:t># Directly handled by WMO</w:t>
      </w:r>
    </w:p>
    <w:p w14:paraId="4A82DE3E" w14:textId="057D184D" w:rsidR="002C0FB1" w:rsidRPr="00755F15" w:rsidRDefault="002C0FB1" w:rsidP="007345F6">
      <w:pPr>
        <w:tabs>
          <w:tab w:val="left" w:pos="1222"/>
          <w:tab w:val="center" w:pos="5083"/>
        </w:tabs>
        <w:adjustRightInd w:val="0"/>
        <w:snapToGrid w:val="0"/>
        <w:rPr>
          <w:rFonts w:ascii="Arial" w:hAnsi="Arial" w:cs="Arial"/>
        </w:rPr>
      </w:pPr>
    </w:p>
    <w:p w14:paraId="2B19E27E" w14:textId="77777777" w:rsidR="00BF7AAF" w:rsidRPr="00755F15" w:rsidRDefault="00BF7AAF" w:rsidP="007345F6">
      <w:pPr>
        <w:tabs>
          <w:tab w:val="left" w:pos="1222"/>
          <w:tab w:val="center" w:pos="5083"/>
        </w:tabs>
        <w:adjustRightInd w:val="0"/>
        <w:snapToGrid w:val="0"/>
        <w:rPr>
          <w:rFonts w:ascii="Arial" w:hAnsi="Arial" w:cs="Arial"/>
        </w:rPr>
      </w:pPr>
    </w:p>
    <w:p w14:paraId="1994C7BE" w14:textId="77777777" w:rsidR="00AD65EA" w:rsidRPr="00755F15" w:rsidRDefault="00AD65EA" w:rsidP="007345F6">
      <w:pPr>
        <w:tabs>
          <w:tab w:val="left" w:pos="1222"/>
          <w:tab w:val="center" w:pos="5083"/>
        </w:tabs>
        <w:adjustRightInd w:val="0"/>
        <w:snapToGrid w:val="0"/>
        <w:rPr>
          <w:rFonts w:ascii="Arial" w:hAnsi="Arial" w:cs="Arial"/>
        </w:rPr>
      </w:pPr>
    </w:p>
    <w:p w14:paraId="7DD09EB7" w14:textId="77777777" w:rsidR="007345F6" w:rsidRPr="00755F15" w:rsidRDefault="00337376" w:rsidP="007345F6">
      <w:pPr>
        <w:tabs>
          <w:tab w:val="left" w:pos="1222"/>
          <w:tab w:val="center" w:pos="5083"/>
        </w:tabs>
        <w:adjustRightInd w:val="0"/>
        <w:snapToGrid w:val="0"/>
        <w:rPr>
          <w:rFonts w:ascii="Arial" w:hAnsi="Arial" w:cs="Arial"/>
        </w:rPr>
      </w:pPr>
      <w:r w:rsidRPr="00755F15">
        <w:rPr>
          <w:rFonts w:ascii="Arial" w:hAnsi="Arial" w:cs="Arial"/>
        </w:rPr>
        <w:t>Typhoon Committee Trust Fund (INF/TC.</w:t>
      </w:r>
      <w:r w:rsidR="00C906BB" w:rsidRPr="00755F15">
        <w:rPr>
          <w:rFonts w:ascii="Arial" w:hAnsi="Arial" w:cs="Arial"/>
        </w:rPr>
        <w:t>50</w:t>
      </w:r>
      <w:r w:rsidRPr="00755F15">
        <w:rPr>
          <w:rFonts w:ascii="Arial" w:hAnsi="Arial" w:cs="Arial"/>
        </w:rPr>
        <w:t>/1</w:t>
      </w:r>
      <w:r w:rsidR="00C906BB" w:rsidRPr="00755F15">
        <w:rPr>
          <w:rFonts w:ascii="Arial" w:hAnsi="Arial" w:cs="Arial"/>
        </w:rPr>
        <w:t>5</w:t>
      </w:r>
      <w:r w:rsidRPr="00755F15">
        <w:rPr>
          <w:rFonts w:ascii="Arial" w:hAnsi="Arial" w:cs="Arial"/>
        </w:rPr>
        <w:t>.</w:t>
      </w:r>
      <w:r w:rsidR="004A36CD" w:rsidRPr="00755F15">
        <w:rPr>
          <w:rFonts w:ascii="Arial" w:eastAsia="新細明體" w:hAnsi="Arial" w:cs="Arial"/>
          <w:lang w:eastAsia="zh-TW"/>
        </w:rPr>
        <w:t>3.2</w:t>
      </w:r>
      <w:r w:rsidRPr="00755F15">
        <w:rPr>
          <w:rFonts w:ascii="Arial" w:hAnsi="Arial" w:cs="Arial"/>
        </w:rPr>
        <w:t>)</w:t>
      </w:r>
    </w:p>
    <w:p w14:paraId="4765E078" w14:textId="74508001" w:rsidR="0027192D" w:rsidRPr="00755F15" w:rsidRDefault="002201A7" w:rsidP="007345F6">
      <w:pPr>
        <w:tabs>
          <w:tab w:val="left" w:pos="1222"/>
          <w:tab w:val="center" w:pos="5083"/>
        </w:tabs>
        <w:adjustRightInd w:val="0"/>
        <w:snapToGrid w:val="0"/>
        <w:rPr>
          <w:rFonts w:ascii="Arial" w:hAnsi="Arial" w:cs="Arial"/>
        </w:rPr>
      </w:pPr>
      <w:r w:rsidRPr="00755F15">
        <w:rPr>
          <w:rFonts w:ascii="Arial" w:hAnsi="Arial" w:cs="Arial"/>
        </w:rPr>
        <w:t xml:space="preserve">Provisional </w:t>
      </w:r>
      <w:r w:rsidR="00337376" w:rsidRPr="00755F15">
        <w:rPr>
          <w:rFonts w:ascii="Arial" w:hAnsi="Arial" w:cs="Arial"/>
        </w:rPr>
        <w:t>Summary of Income and Expenditure from 1 January</w:t>
      </w:r>
      <w:r w:rsidR="00C906BB" w:rsidRPr="00755F15">
        <w:rPr>
          <w:rFonts w:ascii="Arial" w:hAnsi="Arial" w:cs="Arial"/>
        </w:rPr>
        <w:t xml:space="preserve"> 2017</w:t>
      </w:r>
      <w:r w:rsidR="00337376" w:rsidRPr="00755F15">
        <w:rPr>
          <w:rFonts w:ascii="Arial" w:hAnsi="Arial" w:cs="Arial"/>
        </w:rPr>
        <w:t xml:space="preserve"> to 31 </w:t>
      </w:r>
      <w:r w:rsidR="00C906BB" w:rsidRPr="00755F15">
        <w:rPr>
          <w:rFonts w:ascii="Arial" w:hAnsi="Arial" w:cs="Arial"/>
        </w:rPr>
        <w:t>March</w:t>
      </w:r>
      <w:r w:rsidR="00337376" w:rsidRPr="00755F15">
        <w:rPr>
          <w:rFonts w:ascii="Arial" w:hAnsi="Arial" w:cs="Arial"/>
        </w:rPr>
        <w:t>, 201</w:t>
      </w:r>
      <w:r w:rsidR="00C906BB" w:rsidRPr="00755F15">
        <w:rPr>
          <w:rFonts w:ascii="Arial" w:hAnsi="Arial" w:cs="Arial"/>
        </w:rPr>
        <w:t>8</w:t>
      </w:r>
      <w:r w:rsidR="00337376" w:rsidRPr="00755F15">
        <w:rPr>
          <w:rFonts w:ascii="Arial" w:hAnsi="Arial" w:cs="Arial"/>
        </w:rPr>
        <w:t xml:space="preserve"> related to the execution of the Work Plan 201</w:t>
      </w:r>
      <w:r w:rsidR="00CD49B2" w:rsidRPr="00755F15">
        <w:rPr>
          <w:rFonts w:ascii="Arial" w:hAnsi="Arial" w:cs="Arial"/>
        </w:rPr>
        <w:t>7/2018</w:t>
      </w:r>
      <w:r w:rsidR="00337376" w:rsidRPr="00755F15">
        <w:rPr>
          <w:rFonts w:ascii="Arial" w:hAnsi="Arial" w:cs="Arial"/>
        </w:rPr>
        <w:t xml:space="preserve"> by TCS</w:t>
      </w:r>
      <w:r w:rsidR="00EC175F" w:rsidRPr="00755F15">
        <w:rPr>
          <w:rFonts w:ascii="Arial" w:hAnsi="Arial" w:cs="Arial"/>
        </w:rPr>
        <w:t xml:space="preserve"> </w:t>
      </w:r>
    </w:p>
    <w:p w14:paraId="4F4B97BB" w14:textId="1033B76B" w:rsidR="00B971DD" w:rsidRPr="00755F15" w:rsidRDefault="00B971DD" w:rsidP="007345F6">
      <w:pPr>
        <w:tabs>
          <w:tab w:val="left" w:pos="1222"/>
          <w:tab w:val="center" w:pos="5083"/>
        </w:tabs>
        <w:adjustRightInd w:val="0"/>
        <w:snapToGrid w:val="0"/>
        <w:rPr>
          <w:rFonts w:ascii="Arial" w:hAnsi="Arial" w:cs="Arial"/>
        </w:rPr>
      </w:pPr>
      <w:r w:rsidRPr="00755F15">
        <w:rPr>
          <w:rFonts w:ascii="Arial" w:hAnsi="Arial" w:cs="Arial"/>
          <w:noProof/>
          <w:lang w:eastAsia="zh-TW"/>
        </w:rPr>
        <w:drawing>
          <wp:inline distT="0" distB="0" distL="0" distR="0" wp14:anchorId="0D5572C0" wp14:editId="3755B8CD">
            <wp:extent cx="6455410" cy="6976401"/>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55410" cy="6976401"/>
                    </a:xfrm>
                    <a:prstGeom prst="rect">
                      <a:avLst/>
                    </a:prstGeom>
                    <a:noFill/>
                    <a:ln>
                      <a:noFill/>
                    </a:ln>
                  </pic:spPr>
                </pic:pic>
              </a:graphicData>
            </a:graphic>
          </wp:inline>
        </w:drawing>
      </w:r>
    </w:p>
    <w:p w14:paraId="6F822707" w14:textId="77777777" w:rsidR="001F643C" w:rsidRPr="00755F15" w:rsidRDefault="001F643C" w:rsidP="001F643C">
      <w:pPr>
        <w:adjustRightInd w:val="0"/>
        <w:snapToGrid w:val="0"/>
        <w:jc w:val="both"/>
        <w:rPr>
          <w:rFonts w:ascii="Arial" w:hAnsi="Arial" w:cs="Arial"/>
          <w:sz w:val="18"/>
          <w:szCs w:val="18"/>
          <w:lang w:val="en-GB"/>
        </w:rPr>
      </w:pPr>
      <w:r w:rsidRPr="00755F15">
        <w:rPr>
          <w:rFonts w:ascii="Arial" w:hAnsi="Arial" w:cs="Arial"/>
          <w:sz w:val="18"/>
          <w:szCs w:val="18"/>
          <w:lang w:val="en-GB"/>
        </w:rPr>
        <w:t>#Reallocation from Item 5 (USD5,000.00) and Item 17 (USD5,000.00) to support</w:t>
      </w:r>
      <w:r w:rsidR="003E0ECD" w:rsidRPr="00755F15">
        <w:rPr>
          <w:rFonts w:ascii="Arial" w:hAnsi="Arial" w:cs="Arial"/>
          <w:sz w:val="18"/>
          <w:szCs w:val="18"/>
          <w:lang w:val="en-GB"/>
        </w:rPr>
        <w:t xml:space="preserve"> Item 1 for</w:t>
      </w:r>
      <w:r w:rsidRPr="00755F15">
        <w:rPr>
          <w:rFonts w:ascii="Arial" w:hAnsi="Arial" w:cs="Arial"/>
          <w:sz w:val="18"/>
          <w:szCs w:val="18"/>
          <w:lang w:val="en-GB"/>
        </w:rPr>
        <w:t xml:space="preserve"> the TCS staff to participate the Technical Conference (TECO) in conjunction with the 50th Session of Typhoon Committee in 2018, Hanoi, Viet Nam, 26 to 27 February 2018 and the 50th Session of Typhoon Committee (TC50), Hanoi, Viet Nam, 28 February to 3 March 2018</w:t>
      </w:r>
    </w:p>
    <w:p w14:paraId="6F202037" w14:textId="77777777" w:rsidR="001F643C" w:rsidRPr="00755F15" w:rsidRDefault="001F643C" w:rsidP="001F643C">
      <w:pPr>
        <w:adjustRightInd w:val="0"/>
        <w:snapToGrid w:val="0"/>
        <w:jc w:val="left"/>
        <w:rPr>
          <w:rFonts w:ascii="Arial" w:hAnsi="Arial" w:cs="Arial"/>
          <w:sz w:val="14"/>
          <w:lang w:val="en-GB"/>
        </w:rPr>
      </w:pPr>
      <w:r w:rsidRPr="00755F15">
        <w:rPr>
          <w:rFonts w:ascii="Arial" w:hAnsi="Arial" w:cs="Arial"/>
          <w:lang w:val="en-GB"/>
        </w:rPr>
        <w:t xml:space="preserve"> </w:t>
      </w:r>
    </w:p>
    <w:p w14:paraId="3E80D4BE" w14:textId="77777777" w:rsidR="001F643C" w:rsidRPr="00755F15" w:rsidRDefault="001F643C" w:rsidP="00EC175F">
      <w:pPr>
        <w:adjustRightInd w:val="0"/>
        <w:snapToGrid w:val="0"/>
        <w:jc w:val="left"/>
        <w:rPr>
          <w:rFonts w:ascii="Arial" w:hAnsi="Arial" w:cs="Arial"/>
          <w:sz w:val="18"/>
          <w:szCs w:val="18"/>
          <w:lang w:val="en-GB"/>
        </w:rPr>
      </w:pPr>
      <w:r w:rsidRPr="00755F15">
        <w:rPr>
          <w:rFonts w:ascii="Arial" w:hAnsi="Arial" w:cs="Arial"/>
          <w:sz w:val="18"/>
          <w:lang w:val="en-GB"/>
        </w:rPr>
        <w:t>## Directly handled by WMO</w:t>
      </w:r>
    </w:p>
    <w:sectPr w:rsidR="001F643C" w:rsidRPr="00755F15" w:rsidSect="001F643C">
      <w:footerReference w:type="default" r:id="rId10"/>
      <w:pgSz w:w="12240" w:h="15840" w:code="1"/>
      <w:pgMar w:top="432" w:right="634" w:bottom="90" w:left="1440" w:header="0" w:footer="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A8A2C" w14:textId="77777777" w:rsidR="00627F9D" w:rsidRDefault="00627F9D" w:rsidP="00B6270A">
      <w:r>
        <w:separator/>
      </w:r>
    </w:p>
  </w:endnote>
  <w:endnote w:type="continuationSeparator" w:id="0">
    <w:p w14:paraId="29135DE2" w14:textId="77777777" w:rsidR="00627F9D" w:rsidRDefault="00627F9D" w:rsidP="00B6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Ps2OcuAe">
    <w:altName w:val="PMingLiU"/>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EFF" w:usb1="C000605B" w:usb2="00000029" w:usb3="00000000" w:csb0="000101FF" w:csb1="00000000"/>
  </w:font>
  <w:font w:name="·s²Ó©úÅé">
    <w:altName w:val="新細明體"/>
    <w:panose1 w:val="00000000000000000000"/>
    <w:charset w:val="88"/>
    <w:family w:val="roman"/>
    <w:notTrueType/>
    <w:pitch w:val="variable"/>
    <w:sig w:usb0="00000001" w:usb1="08080000" w:usb2="00000010" w:usb3="00000000" w:csb0="00100000" w:csb1="00000000"/>
  </w:font>
  <w:font w:name="新細明體">
    <w:charset w:val="88"/>
    <w:family w:val="auto"/>
    <w:pitch w:val="variable"/>
    <w:sig w:usb0="A00002FF" w:usb1="28CFFCFA" w:usb2="00000016" w:usb3="00000000" w:csb0="00100001" w:csb1="00000000"/>
  </w:font>
  <w:font w:name="Century">
    <w:panose1 w:val="020406040505050203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2105400"/>
      <w:docPartObj>
        <w:docPartGallery w:val="Page Numbers (Bottom of Page)"/>
        <w:docPartUnique/>
      </w:docPartObj>
    </w:sdtPr>
    <w:sdtEndPr>
      <w:rPr>
        <w:noProof/>
      </w:rPr>
    </w:sdtEndPr>
    <w:sdtContent>
      <w:p w14:paraId="6BCCBFB1" w14:textId="1E33EF5C" w:rsidR="00DF51FE" w:rsidRDefault="00EC175F" w:rsidP="00EC175F">
        <w:pPr>
          <w:pStyle w:val="Footer"/>
          <w:tabs>
            <w:tab w:val="left" w:pos="207"/>
            <w:tab w:val="right" w:pos="10166"/>
          </w:tabs>
          <w:jc w:val="left"/>
        </w:pPr>
        <w:r>
          <w:tab/>
        </w:r>
        <w:r>
          <w:tab/>
        </w:r>
        <w:r>
          <w:tab/>
        </w:r>
        <w:r>
          <w:tab/>
        </w:r>
        <w:r w:rsidR="00DF51FE">
          <w:fldChar w:fldCharType="begin"/>
        </w:r>
        <w:r w:rsidR="00DF51FE">
          <w:instrText xml:space="preserve"> PAGE   \* MERGEFORMAT </w:instrText>
        </w:r>
        <w:r w:rsidR="00DF51FE">
          <w:fldChar w:fldCharType="separate"/>
        </w:r>
        <w:r w:rsidR="00755F15">
          <w:rPr>
            <w:noProof/>
          </w:rPr>
          <w:t>1</w:t>
        </w:r>
        <w:r w:rsidR="00DF51FE">
          <w:rPr>
            <w:noProof/>
          </w:rPr>
          <w:fldChar w:fldCharType="end"/>
        </w:r>
      </w:p>
    </w:sdtContent>
  </w:sdt>
  <w:p w14:paraId="28E2CB89" w14:textId="77777777" w:rsidR="00DF51FE" w:rsidRDefault="00DF51F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B99DD" w14:textId="77777777" w:rsidR="00627F9D" w:rsidRDefault="00627F9D" w:rsidP="00B6270A">
      <w:r>
        <w:separator/>
      </w:r>
    </w:p>
  </w:footnote>
  <w:footnote w:type="continuationSeparator" w:id="0">
    <w:p w14:paraId="7A4A4B51" w14:textId="77777777" w:rsidR="00627F9D" w:rsidRDefault="00627F9D" w:rsidP="00B627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31707"/>
    <w:multiLevelType w:val="hybridMultilevel"/>
    <w:tmpl w:val="D0723036"/>
    <w:lvl w:ilvl="0" w:tplc="660C588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61CA596D"/>
    <w:multiLevelType w:val="multilevel"/>
    <w:tmpl w:val="0D2CBF18"/>
    <w:lvl w:ilvl="0">
      <w:start w:val="14"/>
      <w:numFmt w:val="decimal"/>
      <w:lvlText w:val="%1"/>
      <w:lvlJc w:val="left"/>
      <w:pPr>
        <w:ind w:left="576" w:hanging="576"/>
      </w:pPr>
      <w:rPr>
        <w:rFonts w:hint="default"/>
      </w:rPr>
    </w:lvl>
    <w:lvl w:ilvl="1">
      <w:start w:val="2"/>
      <w:numFmt w:val="decimal"/>
      <w:lvlText w:val="%1.%2"/>
      <w:lvlJc w:val="left"/>
      <w:pPr>
        <w:ind w:left="1394" w:hanging="576"/>
      </w:pPr>
      <w:rPr>
        <w:rFonts w:hint="default"/>
      </w:rPr>
    </w:lvl>
    <w:lvl w:ilvl="2">
      <w:start w:val="2"/>
      <w:numFmt w:val="decimal"/>
      <w:lvlText w:val="%1.%2.%3"/>
      <w:lvlJc w:val="left"/>
      <w:pPr>
        <w:ind w:left="2356" w:hanging="720"/>
      </w:pPr>
      <w:rPr>
        <w:rFonts w:hint="default"/>
      </w:rPr>
    </w:lvl>
    <w:lvl w:ilvl="3">
      <w:start w:val="1"/>
      <w:numFmt w:val="decimal"/>
      <w:lvlText w:val="%1.%2.%3.%4"/>
      <w:lvlJc w:val="left"/>
      <w:pPr>
        <w:ind w:left="3174" w:hanging="720"/>
      </w:pPr>
      <w:rPr>
        <w:rFonts w:hint="default"/>
      </w:rPr>
    </w:lvl>
    <w:lvl w:ilvl="4">
      <w:start w:val="1"/>
      <w:numFmt w:val="decimal"/>
      <w:lvlText w:val="%1.%2.%3.%4.%5"/>
      <w:lvlJc w:val="left"/>
      <w:pPr>
        <w:ind w:left="4352" w:hanging="1080"/>
      </w:pPr>
      <w:rPr>
        <w:rFonts w:hint="default"/>
      </w:rPr>
    </w:lvl>
    <w:lvl w:ilvl="5">
      <w:start w:val="1"/>
      <w:numFmt w:val="decimal"/>
      <w:lvlText w:val="%1.%2.%3.%4.%5.%6"/>
      <w:lvlJc w:val="left"/>
      <w:pPr>
        <w:ind w:left="5170" w:hanging="1080"/>
      </w:pPr>
      <w:rPr>
        <w:rFonts w:hint="default"/>
      </w:rPr>
    </w:lvl>
    <w:lvl w:ilvl="6">
      <w:start w:val="1"/>
      <w:numFmt w:val="decimal"/>
      <w:lvlText w:val="%1.%2.%3.%4.%5.%6.%7"/>
      <w:lvlJc w:val="left"/>
      <w:pPr>
        <w:ind w:left="6348" w:hanging="1440"/>
      </w:pPr>
      <w:rPr>
        <w:rFonts w:hint="default"/>
      </w:rPr>
    </w:lvl>
    <w:lvl w:ilvl="7">
      <w:start w:val="1"/>
      <w:numFmt w:val="decimal"/>
      <w:lvlText w:val="%1.%2.%3.%4.%5.%6.%7.%8"/>
      <w:lvlJc w:val="left"/>
      <w:pPr>
        <w:ind w:left="7166" w:hanging="1440"/>
      </w:pPr>
      <w:rPr>
        <w:rFonts w:hint="default"/>
      </w:rPr>
    </w:lvl>
    <w:lvl w:ilvl="8">
      <w:start w:val="1"/>
      <w:numFmt w:val="decimal"/>
      <w:lvlText w:val="%1.%2.%3.%4.%5.%6.%7.%8.%9"/>
      <w:lvlJc w:val="left"/>
      <w:pPr>
        <w:ind w:left="8344" w:hanging="1800"/>
      </w:pPr>
      <w:rPr>
        <w:rFonts w:hint="default"/>
      </w:rPr>
    </w:lvl>
  </w:abstractNum>
  <w:abstractNum w:abstractNumId="2">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abstractNumId w:val="0"/>
  </w:num>
  <w:num w:numId="2">
    <w:abstractNumId w:val="2"/>
  </w:num>
  <w:num w:numId="3">
    <w:abstractNumId w:val="1"/>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335"/>
    <w:rsid w:val="0001030E"/>
    <w:rsid w:val="00015367"/>
    <w:rsid w:val="00074203"/>
    <w:rsid w:val="0008437A"/>
    <w:rsid w:val="000B667B"/>
    <w:rsid w:val="000B66C6"/>
    <w:rsid w:val="000C19FA"/>
    <w:rsid w:val="000C2679"/>
    <w:rsid w:val="0013455B"/>
    <w:rsid w:val="00145242"/>
    <w:rsid w:val="00150329"/>
    <w:rsid w:val="001607F2"/>
    <w:rsid w:val="00172CD3"/>
    <w:rsid w:val="001757EB"/>
    <w:rsid w:val="0019713D"/>
    <w:rsid w:val="001D714D"/>
    <w:rsid w:val="001E7E66"/>
    <w:rsid w:val="001F0805"/>
    <w:rsid w:val="001F643C"/>
    <w:rsid w:val="00210239"/>
    <w:rsid w:val="002152AC"/>
    <w:rsid w:val="002201A7"/>
    <w:rsid w:val="00252357"/>
    <w:rsid w:val="00270AC5"/>
    <w:rsid w:val="0027192D"/>
    <w:rsid w:val="002C0955"/>
    <w:rsid w:val="002C0FB1"/>
    <w:rsid w:val="002C3BB2"/>
    <w:rsid w:val="002F47B3"/>
    <w:rsid w:val="003118B4"/>
    <w:rsid w:val="003170E1"/>
    <w:rsid w:val="00337376"/>
    <w:rsid w:val="003E0ECD"/>
    <w:rsid w:val="00420EA8"/>
    <w:rsid w:val="00452516"/>
    <w:rsid w:val="00467F27"/>
    <w:rsid w:val="00483335"/>
    <w:rsid w:val="004A36CD"/>
    <w:rsid w:val="004E1325"/>
    <w:rsid w:val="004E4011"/>
    <w:rsid w:val="00527EA5"/>
    <w:rsid w:val="00556C12"/>
    <w:rsid w:val="00580E45"/>
    <w:rsid w:val="00600425"/>
    <w:rsid w:val="00613221"/>
    <w:rsid w:val="00625A87"/>
    <w:rsid w:val="00627F9D"/>
    <w:rsid w:val="00634DB8"/>
    <w:rsid w:val="006462B3"/>
    <w:rsid w:val="00676CBD"/>
    <w:rsid w:val="00686635"/>
    <w:rsid w:val="0069513A"/>
    <w:rsid w:val="006A69C8"/>
    <w:rsid w:val="007336D8"/>
    <w:rsid w:val="007345F6"/>
    <w:rsid w:val="007404DA"/>
    <w:rsid w:val="00750536"/>
    <w:rsid w:val="00755F15"/>
    <w:rsid w:val="00772F88"/>
    <w:rsid w:val="007A150C"/>
    <w:rsid w:val="008401B6"/>
    <w:rsid w:val="008709F5"/>
    <w:rsid w:val="008C0033"/>
    <w:rsid w:val="008E2EBC"/>
    <w:rsid w:val="00925EE1"/>
    <w:rsid w:val="009331C4"/>
    <w:rsid w:val="0094705A"/>
    <w:rsid w:val="00956D71"/>
    <w:rsid w:val="0096072F"/>
    <w:rsid w:val="009923D5"/>
    <w:rsid w:val="009B1670"/>
    <w:rsid w:val="00A3461C"/>
    <w:rsid w:val="00A36472"/>
    <w:rsid w:val="00A550B6"/>
    <w:rsid w:val="00AC36EE"/>
    <w:rsid w:val="00AD65EA"/>
    <w:rsid w:val="00AF04DA"/>
    <w:rsid w:val="00B0596A"/>
    <w:rsid w:val="00B2373F"/>
    <w:rsid w:val="00B6270A"/>
    <w:rsid w:val="00B64F62"/>
    <w:rsid w:val="00B948A7"/>
    <w:rsid w:val="00B971DD"/>
    <w:rsid w:val="00BC71E7"/>
    <w:rsid w:val="00BE45EB"/>
    <w:rsid w:val="00BF7AAF"/>
    <w:rsid w:val="00C23190"/>
    <w:rsid w:val="00C5520F"/>
    <w:rsid w:val="00C57BD2"/>
    <w:rsid w:val="00C6593F"/>
    <w:rsid w:val="00C906BB"/>
    <w:rsid w:val="00CA7CBE"/>
    <w:rsid w:val="00CC1589"/>
    <w:rsid w:val="00CC21D1"/>
    <w:rsid w:val="00CD1932"/>
    <w:rsid w:val="00CD49B2"/>
    <w:rsid w:val="00D2731F"/>
    <w:rsid w:val="00D50089"/>
    <w:rsid w:val="00D76087"/>
    <w:rsid w:val="00D80293"/>
    <w:rsid w:val="00D81FB1"/>
    <w:rsid w:val="00D823B9"/>
    <w:rsid w:val="00DB00B5"/>
    <w:rsid w:val="00DB40C3"/>
    <w:rsid w:val="00DE0458"/>
    <w:rsid w:val="00DF4DCD"/>
    <w:rsid w:val="00DF51FE"/>
    <w:rsid w:val="00DF707D"/>
    <w:rsid w:val="00E42DF8"/>
    <w:rsid w:val="00E430D9"/>
    <w:rsid w:val="00E633AA"/>
    <w:rsid w:val="00E81BA3"/>
    <w:rsid w:val="00EC175F"/>
    <w:rsid w:val="00EC47F6"/>
    <w:rsid w:val="00ED3D4C"/>
    <w:rsid w:val="00EE708A"/>
    <w:rsid w:val="00FA09A5"/>
    <w:rsid w:val="00FD410D"/>
    <w:rsid w:val="00FE78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23A49E"/>
  <w15:docId w15:val="{7613E641-CDF2-4CC8-9A86-8021CEDD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jc w:val="cente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71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qFormat/>
    <w:rsid w:val="00270AC5"/>
    <w:pPr>
      <w:keepNext/>
      <w:widowControl w:val="0"/>
      <w:tabs>
        <w:tab w:val="right" w:pos="8280"/>
      </w:tabs>
      <w:spacing w:line="260" w:lineRule="exact"/>
      <w:outlineLvl w:val="1"/>
    </w:pPr>
    <w:rPr>
      <w:rFonts w:ascii="Times New Roman" w:eastAsia="¡Ps2OcuAe" w:hAnsi="Times New Roman" w:cs="Times New Roman"/>
      <w:b/>
      <w:kern w:val="2"/>
      <w:sz w:val="24"/>
      <w:szCs w:val="20"/>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3335"/>
    <w:rPr>
      <w:rFonts w:ascii="Tahoma" w:hAnsi="Tahoma" w:cs="Tahoma"/>
      <w:sz w:val="16"/>
      <w:szCs w:val="16"/>
    </w:rPr>
  </w:style>
  <w:style w:type="character" w:customStyle="1" w:styleId="BalloonTextChar">
    <w:name w:val="Balloon Text Char"/>
    <w:basedOn w:val="DefaultParagraphFont"/>
    <w:link w:val="BalloonText"/>
    <w:uiPriority w:val="99"/>
    <w:semiHidden/>
    <w:rsid w:val="00483335"/>
    <w:rPr>
      <w:rFonts w:ascii="Tahoma" w:hAnsi="Tahoma" w:cs="Tahoma"/>
      <w:sz w:val="16"/>
      <w:szCs w:val="16"/>
    </w:rPr>
  </w:style>
  <w:style w:type="character" w:customStyle="1" w:styleId="Heading2Char">
    <w:name w:val="Heading 2 Char"/>
    <w:basedOn w:val="DefaultParagraphFont"/>
    <w:link w:val="Heading2"/>
    <w:rsid w:val="00270AC5"/>
    <w:rPr>
      <w:rFonts w:ascii="Times New Roman" w:eastAsia="¡Ps2OcuAe" w:hAnsi="Times New Roman" w:cs="Times New Roman"/>
      <w:b/>
      <w:kern w:val="2"/>
      <w:sz w:val="24"/>
      <w:szCs w:val="20"/>
      <w:lang w:eastAsia="zh-TW"/>
    </w:rPr>
  </w:style>
  <w:style w:type="paragraph" w:styleId="NormalIndent">
    <w:name w:val="Normal Indent"/>
    <w:basedOn w:val="Normal"/>
    <w:rsid w:val="00270AC5"/>
    <w:pPr>
      <w:widowControl w:val="0"/>
      <w:ind w:left="720"/>
    </w:pPr>
    <w:rPr>
      <w:rFonts w:ascii="Times New Roman" w:eastAsia="·s²Ó©úÅé" w:hAnsi="Times New Roman" w:cs="Times New Roman"/>
      <w:kern w:val="2"/>
      <w:sz w:val="24"/>
      <w:szCs w:val="20"/>
      <w:lang w:eastAsia="zh-TW"/>
    </w:rPr>
  </w:style>
  <w:style w:type="paragraph" w:styleId="BodyText">
    <w:name w:val="Body Text"/>
    <w:basedOn w:val="Normal"/>
    <w:link w:val="BodyTextChar"/>
    <w:rsid w:val="009B1670"/>
    <w:pPr>
      <w:widowControl w:val="0"/>
      <w:jc w:val="left"/>
    </w:pPr>
    <w:rPr>
      <w:rFonts w:ascii="Times New Roman" w:eastAsia="新細明體" w:hAnsi="Times New Roman" w:cs="Times New Roman"/>
      <w:b/>
      <w:bCs/>
      <w:kern w:val="2"/>
      <w:sz w:val="28"/>
      <w:szCs w:val="28"/>
      <w:lang w:val="x-none" w:eastAsia="x-none"/>
    </w:rPr>
  </w:style>
  <w:style w:type="character" w:customStyle="1" w:styleId="BodyTextChar">
    <w:name w:val="Body Text Char"/>
    <w:basedOn w:val="DefaultParagraphFont"/>
    <w:link w:val="BodyText"/>
    <w:rsid w:val="009B1670"/>
    <w:rPr>
      <w:rFonts w:ascii="Times New Roman" w:eastAsia="新細明體" w:hAnsi="Times New Roman" w:cs="Times New Roman"/>
      <w:b/>
      <w:bCs/>
      <w:kern w:val="2"/>
      <w:sz w:val="28"/>
      <w:szCs w:val="28"/>
      <w:lang w:val="x-none" w:eastAsia="x-none"/>
    </w:rPr>
  </w:style>
  <w:style w:type="paragraph" w:styleId="Header">
    <w:name w:val="header"/>
    <w:basedOn w:val="Normal"/>
    <w:link w:val="HeaderChar"/>
    <w:uiPriority w:val="99"/>
    <w:unhideWhenUsed/>
    <w:rsid w:val="00B6270A"/>
    <w:pPr>
      <w:tabs>
        <w:tab w:val="center" w:pos="4513"/>
        <w:tab w:val="right" w:pos="9026"/>
      </w:tabs>
    </w:pPr>
  </w:style>
  <w:style w:type="character" w:customStyle="1" w:styleId="HeaderChar">
    <w:name w:val="Header Char"/>
    <w:basedOn w:val="DefaultParagraphFont"/>
    <w:link w:val="Header"/>
    <w:uiPriority w:val="99"/>
    <w:rsid w:val="00B6270A"/>
  </w:style>
  <w:style w:type="paragraph" w:styleId="Footer">
    <w:name w:val="footer"/>
    <w:basedOn w:val="Normal"/>
    <w:link w:val="FooterChar"/>
    <w:uiPriority w:val="99"/>
    <w:unhideWhenUsed/>
    <w:rsid w:val="00B6270A"/>
    <w:pPr>
      <w:tabs>
        <w:tab w:val="center" w:pos="4513"/>
        <w:tab w:val="right" w:pos="9026"/>
      </w:tabs>
    </w:pPr>
  </w:style>
  <w:style w:type="character" w:customStyle="1" w:styleId="FooterChar">
    <w:name w:val="Footer Char"/>
    <w:basedOn w:val="DefaultParagraphFont"/>
    <w:link w:val="Footer"/>
    <w:uiPriority w:val="99"/>
    <w:rsid w:val="00B6270A"/>
  </w:style>
  <w:style w:type="paragraph" w:styleId="ListParagraph">
    <w:name w:val="List Paragraph"/>
    <w:basedOn w:val="Normal"/>
    <w:uiPriority w:val="34"/>
    <w:qFormat/>
    <w:rsid w:val="00BC71E7"/>
    <w:pPr>
      <w:widowControl w:val="0"/>
      <w:ind w:left="720"/>
      <w:contextualSpacing/>
      <w:jc w:val="both"/>
    </w:pPr>
    <w:rPr>
      <w:rFonts w:ascii="Century" w:eastAsia="MS Mincho" w:hAnsi="Century" w:cs="Times New Roman"/>
      <w:kern w:val="2"/>
      <w:sz w:val="21"/>
      <w:szCs w:val="20"/>
      <w:lang w:eastAsia="ja-JP"/>
    </w:rPr>
  </w:style>
  <w:style w:type="character" w:customStyle="1" w:styleId="Heading1Char">
    <w:name w:val="Heading 1 Char"/>
    <w:basedOn w:val="DefaultParagraphFont"/>
    <w:link w:val="Heading1"/>
    <w:uiPriority w:val="9"/>
    <w:rsid w:val="00BC71E7"/>
    <w:rPr>
      <w:rFonts w:asciiTheme="majorHAnsi" w:eastAsiaTheme="majorEastAsia" w:hAnsiTheme="majorHAnsi" w:cstheme="majorBidi"/>
      <w:b/>
      <w:bCs/>
      <w:color w:val="365F91" w:themeColor="accent1" w:themeShade="BF"/>
      <w:sz w:val="28"/>
      <w:szCs w:val="28"/>
    </w:rPr>
  </w:style>
  <w:style w:type="paragraph" w:customStyle="1" w:styleId="numberpara">
    <w:name w:val="numberpara"/>
    <w:basedOn w:val="Normal"/>
    <w:rsid w:val="00BC71E7"/>
    <w:pPr>
      <w:spacing w:after="240"/>
      <w:jc w:val="both"/>
    </w:pPr>
    <w:rPr>
      <w:rFonts w:ascii="Arial" w:eastAsia="SimSun" w:hAnsi="Arial" w:cs="Times New Roman"/>
      <w:lang w:val="en-GB" w:eastAsia="en-US"/>
    </w:rPr>
  </w:style>
  <w:style w:type="paragraph" w:customStyle="1" w:styleId="TC1">
    <w:name w:val="TC1"/>
    <w:basedOn w:val="Normal"/>
    <w:uiPriority w:val="99"/>
    <w:qFormat/>
    <w:rsid w:val="00CC1589"/>
    <w:pPr>
      <w:numPr>
        <w:numId w:val="2"/>
      </w:numPr>
      <w:contextualSpacing/>
      <w:jc w:val="both"/>
    </w:pPr>
    <w:rPr>
      <w:rFonts w:ascii="Times New Roman" w:eastAsia="新細明體" w:hAnsi="Times New Roman" w:cs="Times New Roman"/>
      <w:sz w:val="21"/>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9043">
      <w:bodyDiv w:val="1"/>
      <w:marLeft w:val="0"/>
      <w:marRight w:val="0"/>
      <w:marTop w:val="0"/>
      <w:marBottom w:val="0"/>
      <w:divBdr>
        <w:top w:val="none" w:sz="0" w:space="0" w:color="auto"/>
        <w:left w:val="none" w:sz="0" w:space="0" w:color="auto"/>
        <w:bottom w:val="none" w:sz="0" w:space="0" w:color="auto"/>
        <w:right w:val="none" w:sz="0" w:space="0" w:color="auto"/>
      </w:divBdr>
    </w:div>
    <w:div w:id="810289333">
      <w:bodyDiv w:val="1"/>
      <w:marLeft w:val="0"/>
      <w:marRight w:val="0"/>
      <w:marTop w:val="0"/>
      <w:marBottom w:val="0"/>
      <w:divBdr>
        <w:top w:val="none" w:sz="0" w:space="0" w:color="auto"/>
        <w:left w:val="none" w:sz="0" w:space="0" w:color="auto"/>
        <w:bottom w:val="none" w:sz="0" w:space="0" w:color="auto"/>
        <w:right w:val="none" w:sz="0" w:space="0" w:color="auto"/>
      </w:divBdr>
    </w:div>
    <w:div w:id="173493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220</Words>
  <Characters>1260</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Microsoft Office User</cp:lastModifiedBy>
  <cp:revision>2</cp:revision>
  <cp:lastPrinted>2018-01-26T01:52:00Z</cp:lastPrinted>
  <dcterms:created xsi:type="dcterms:W3CDTF">2018-03-12T07:25:00Z</dcterms:created>
  <dcterms:modified xsi:type="dcterms:W3CDTF">2018-03-12T07:25:00Z</dcterms:modified>
</cp:coreProperties>
</file>